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7F45" w14:textId="42DF135C" w:rsidR="000D039D" w:rsidRPr="00E83D38" w:rsidRDefault="00BC6FDA" w:rsidP="000D039D">
      <w:pPr>
        <w:jc w:val="center"/>
        <w:rPr>
          <w:b/>
          <w:bCs/>
        </w:rPr>
      </w:pPr>
      <w:r>
        <w:rPr>
          <w:b/>
          <w:bCs/>
        </w:rPr>
        <w:t>June 17</w:t>
      </w:r>
      <w:r w:rsidR="000D039D" w:rsidRPr="00E83D38">
        <w:rPr>
          <w:b/>
          <w:bCs/>
        </w:rPr>
        <w:t>, 2022, TEGE EO Council Meeting</w:t>
      </w:r>
      <w:r w:rsidR="009402B1">
        <w:rPr>
          <w:b/>
          <w:bCs/>
        </w:rPr>
        <w:t xml:space="preserve"> </w:t>
      </w:r>
    </w:p>
    <w:p w14:paraId="20CF52A2" w14:textId="029A02D2" w:rsidR="000D039D" w:rsidRPr="00E83D38" w:rsidRDefault="000D039D" w:rsidP="000D039D">
      <w:pPr>
        <w:jc w:val="center"/>
        <w:rPr>
          <w:b/>
          <w:bCs/>
        </w:rPr>
      </w:pPr>
      <w:r w:rsidRPr="00E83D38">
        <w:rPr>
          <w:b/>
          <w:bCs/>
        </w:rPr>
        <w:t>EO Update Session with TEGE Exempt Organization Division’s Rob Malone and Tim Berger</w:t>
      </w:r>
    </w:p>
    <w:tbl>
      <w:tblPr>
        <w:tblStyle w:val="TableGrid"/>
        <w:tblW w:w="9630" w:type="dxa"/>
        <w:tblInd w:w="-365" w:type="dxa"/>
        <w:tblLook w:val="04A0" w:firstRow="1" w:lastRow="0" w:firstColumn="1" w:lastColumn="0" w:noHBand="0" w:noVBand="1"/>
      </w:tblPr>
      <w:tblGrid>
        <w:gridCol w:w="2070"/>
        <w:gridCol w:w="5310"/>
        <w:gridCol w:w="2250"/>
      </w:tblGrid>
      <w:tr w:rsidR="00C472F0" w14:paraId="7EBA04C2" w14:textId="77777777" w:rsidTr="00531CAF">
        <w:tc>
          <w:tcPr>
            <w:tcW w:w="2070" w:type="dxa"/>
          </w:tcPr>
          <w:p w14:paraId="6C2CCAB4" w14:textId="77777777" w:rsidR="00C472F0" w:rsidRDefault="00C472F0">
            <w:pPr>
              <w:rPr>
                <w:b/>
                <w:bCs/>
              </w:rPr>
            </w:pPr>
            <w:r>
              <w:rPr>
                <w:b/>
                <w:bCs/>
              </w:rPr>
              <w:t>Session Start:</w:t>
            </w:r>
          </w:p>
          <w:p w14:paraId="02C29871" w14:textId="0D69529B" w:rsidR="00C472F0" w:rsidRPr="000D039D" w:rsidRDefault="00C472F0">
            <w:pPr>
              <w:rPr>
                <w:b/>
                <w:bCs/>
              </w:rPr>
            </w:pPr>
            <w:r>
              <w:rPr>
                <w:b/>
                <w:bCs/>
              </w:rPr>
              <w:t>9:40 am</w:t>
            </w:r>
          </w:p>
        </w:tc>
        <w:tc>
          <w:tcPr>
            <w:tcW w:w="5310" w:type="dxa"/>
          </w:tcPr>
          <w:p w14:paraId="12C3E516" w14:textId="77777777" w:rsidR="00C472F0" w:rsidRDefault="00C472F0" w:rsidP="00E30D6E">
            <w:pPr>
              <w:rPr>
                <w:b/>
                <w:bCs/>
              </w:rPr>
            </w:pPr>
          </w:p>
          <w:p w14:paraId="07E9C65C" w14:textId="57568999" w:rsidR="00C472F0" w:rsidRPr="000D039D" w:rsidRDefault="00C472F0" w:rsidP="00E30D6E">
            <w:pPr>
              <w:jc w:val="center"/>
              <w:rPr>
                <w:b/>
                <w:bCs/>
              </w:rPr>
            </w:pPr>
            <w:r>
              <w:rPr>
                <w:b/>
                <w:bCs/>
              </w:rPr>
              <w:t>TOPIC</w:t>
            </w:r>
          </w:p>
        </w:tc>
        <w:tc>
          <w:tcPr>
            <w:tcW w:w="2250" w:type="dxa"/>
          </w:tcPr>
          <w:p w14:paraId="2E6B77B6" w14:textId="7A81CC15" w:rsidR="00C472F0" w:rsidRPr="000D039D" w:rsidRDefault="00C472F0">
            <w:pPr>
              <w:rPr>
                <w:b/>
                <w:bCs/>
              </w:rPr>
            </w:pPr>
            <w:r>
              <w:rPr>
                <w:b/>
                <w:bCs/>
              </w:rPr>
              <w:t xml:space="preserve">Primary </w:t>
            </w:r>
            <w:r w:rsidRPr="000D039D">
              <w:rPr>
                <w:b/>
                <w:bCs/>
              </w:rPr>
              <w:t>Speaker</w:t>
            </w:r>
            <w:r>
              <w:rPr>
                <w:b/>
                <w:bCs/>
              </w:rPr>
              <w:t xml:space="preserve"> and Tim</w:t>
            </w:r>
            <w:r w:rsidR="0008414B">
              <w:rPr>
                <w:b/>
                <w:bCs/>
              </w:rPr>
              <w:t>emark Goals</w:t>
            </w:r>
            <w:r>
              <w:rPr>
                <w:b/>
                <w:bCs/>
              </w:rPr>
              <w:t xml:space="preserve"> (all times Eastern)</w:t>
            </w:r>
          </w:p>
        </w:tc>
      </w:tr>
      <w:tr w:rsidR="00C472F0" w14:paraId="1426BFBA" w14:textId="77777777" w:rsidTr="00531CAF">
        <w:tc>
          <w:tcPr>
            <w:tcW w:w="2070" w:type="dxa"/>
            <w:shd w:val="clear" w:color="auto" w:fill="F2F2F2" w:themeFill="background1" w:themeFillShade="F2"/>
          </w:tcPr>
          <w:p w14:paraId="49DCA7DA" w14:textId="36B0F8F2" w:rsidR="00C472F0" w:rsidRDefault="00C472F0" w:rsidP="00A31781"/>
        </w:tc>
        <w:tc>
          <w:tcPr>
            <w:tcW w:w="5310" w:type="dxa"/>
            <w:shd w:val="clear" w:color="auto" w:fill="F2F2F2" w:themeFill="background1" w:themeFillShade="F2"/>
          </w:tcPr>
          <w:p w14:paraId="083F4E92" w14:textId="28434129" w:rsidR="00C472F0" w:rsidRPr="002022F9" w:rsidRDefault="00C472F0">
            <w:pPr>
              <w:rPr>
                <w:b/>
                <w:bCs/>
              </w:rPr>
            </w:pPr>
            <w:r w:rsidRPr="002022F9">
              <w:rPr>
                <w:b/>
                <w:bCs/>
              </w:rPr>
              <w:t xml:space="preserve">Introduction of </w:t>
            </w:r>
            <w:r>
              <w:rPr>
                <w:b/>
                <w:bCs/>
              </w:rPr>
              <w:t>Panelists by Moderators</w:t>
            </w:r>
          </w:p>
        </w:tc>
        <w:tc>
          <w:tcPr>
            <w:tcW w:w="2250" w:type="dxa"/>
            <w:shd w:val="clear" w:color="auto" w:fill="F2F2F2" w:themeFill="background1" w:themeFillShade="F2"/>
          </w:tcPr>
          <w:p w14:paraId="7FB5DD66" w14:textId="0138D9BF" w:rsidR="00C472F0" w:rsidRDefault="00C472F0">
            <w:r>
              <w:t>Eve – to 9:43</w:t>
            </w:r>
          </w:p>
        </w:tc>
      </w:tr>
      <w:tr w:rsidR="00C472F0" w14:paraId="6073FBC0" w14:textId="77777777" w:rsidTr="00531CAF">
        <w:tc>
          <w:tcPr>
            <w:tcW w:w="2070" w:type="dxa"/>
          </w:tcPr>
          <w:p w14:paraId="56712A0B" w14:textId="23F5622C" w:rsidR="00C472F0" w:rsidRPr="00A31781" w:rsidRDefault="00C472F0" w:rsidP="00A31781">
            <w:r w:rsidRPr="00A31781">
              <w:t>Opening</w:t>
            </w:r>
            <w:r>
              <w:t xml:space="preserve"> </w:t>
            </w:r>
            <w:r w:rsidRPr="00A31781">
              <w:t>Remarks</w:t>
            </w:r>
          </w:p>
        </w:tc>
        <w:tc>
          <w:tcPr>
            <w:tcW w:w="5310" w:type="dxa"/>
          </w:tcPr>
          <w:p w14:paraId="2D95FCA4" w14:textId="2D8736C0" w:rsidR="00C472F0" w:rsidRPr="002022F9" w:rsidRDefault="00C472F0" w:rsidP="00A31781">
            <w:pPr>
              <w:rPr>
                <w:b/>
                <w:bCs/>
              </w:rPr>
            </w:pPr>
            <w:r w:rsidRPr="002022F9">
              <w:rPr>
                <w:b/>
                <w:bCs/>
              </w:rPr>
              <w:t>Remarks from the EO Division Director</w:t>
            </w:r>
          </w:p>
        </w:tc>
        <w:tc>
          <w:tcPr>
            <w:tcW w:w="2250" w:type="dxa"/>
          </w:tcPr>
          <w:p w14:paraId="6E09F0A6" w14:textId="66EA016A" w:rsidR="00C472F0" w:rsidRDefault="00C472F0">
            <w:r>
              <w:t>Rob – to 10:03</w:t>
            </w:r>
          </w:p>
        </w:tc>
      </w:tr>
      <w:tr w:rsidR="009377C3" w14:paraId="291E2F7A" w14:textId="77777777" w:rsidTr="00531CAF">
        <w:tc>
          <w:tcPr>
            <w:tcW w:w="9630" w:type="dxa"/>
            <w:gridSpan w:val="3"/>
          </w:tcPr>
          <w:p w14:paraId="352D623B" w14:textId="6F621757" w:rsidR="009377C3" w:rsidRPr="00E2714B" w:rsidRDefault="009377C3">
            <w:pPr>
              <w:rPr>
                <w:b/>
                <w:bCs/>
              </w:rPr>
            </w:pPr>
            <w:r w:rsidRPr="00E2714B">
              <w:rPr>
                <w:b/>
                <w:bCs/>
              </w:rPr>
              <w:t xml:space="preserve">Key </w:t>
            </w:r>
            <w:r w:rsidR="00E2714B" w:rsidRPr="00E2714B">
              <w:rPr>
                <w:b/>
                <w:bCs/>
              </w:rPr>
              <w:t>T</w:t>
            </w:r>
            <w:r w:rsidRPr="00E2714B">
              <w:rPr>
                <w:b/>
                <w:bCs/>
              </w:rPr>
              <w:t>opics:</w:t>
            </w:r>
          </w:p>
        </w:tc>
      </w:tr>
      <w:tr w:rsidR="00C472F0" w14:paraId="242F58FF" w14:textId="77777777" w:rsidTr="00531CAF">
        <w:trPr>
          <w:trHeight w:val="530"/>
        </w:trPr>
        <w:tc>
          <w:tcPr>
            <w:tcW w:w="2070" w:type="dxa"/>
            <w:shd w:val="clear" w:color="auto" w:fill="F2F2F2" w:themeFill="background1" w:themeFillShade="F2"/>
          </w:tcPr>
          <w:p w14:paraId="71677544" w14:textId="2C56555E" w:rsidR="00C472F0" w:rsidRDefault="00C472F0">
            <w:r>
              <w:t>Topic #1 ~12 min</w:t>
            </w:r>
          </w:p>
        </w:tc>
        <w:tc>
          <w:tcPr>
            <w:tcW w:w="5310" w:type="dxa"/>
            <w:shd w:val="clear" w:color="auto" w:fill="F2F2F2" w:themeFill="background1" w:themeFillShade="F2"/>
          </w:tcPr>
          <w:p w14:paraId="20330DB1" w14:textId="77777777" w:rsidR="00C472F0" w:rsidRPr="002022F9" w:rsidRDefault="00C472F0">
            <w:pPr>
              <w:rPr>
                <w:b/>
                <w:bCs/>
              </w:rPr>
            </w:pPr>
            <w:r w:rsidRPr="002022F9">
              <w:rPr>
                <w:b/>
                <w:bCs/>
              </w:rPr>
              <w:t xml:space="preserve">Current IRS Operations </w:t>
            </w:r>
          </w:p>
          <w:p w14:paraId="074D59E6" w14:textId="7FF1E63F" w:rsidR="00C472F0" w:rsidRPr="00827EBC" w:rsidRDefault="00C472F0" w:rsidP="008E1A01">
            <w:pPr>
              <w:pStyle w:val="ListParagraph"/>
              <w:numPr>
                <w:ilvl w:val="0"/>
                <w:numId w:val="7"/>
              </w:numPr>
              <w:ind w:left="164" w:hanging="164"/>
            </w:pPr>
            <w:r w:rsidRPr="00827EBC">
              <w:t xml:space="preserve">Dialogue re </w:t>
            </w:r>
            <w:r w:rsidR="0008414B">
              <w:t xml:space="preserve">new </w:t>
            </w:r>
            <w:r w:rsidRPr="00827EBC">
              <w:t xml:space="preserve">items Rob has noted </w:t>
            </w:r>
            <w:r w:rsidR="0008414B">
              <w:t xml:space="preserve">as well as those followed up upon </w:t>
            </w:r>
            <w:r w:rsidRPr="00827EBC">
              <w:t xml:space="preserve">from </w:t>
            </w:r>
            <w:r w:rsidR="0008414B">
              <w:t xml:space="preserve">this Panel’s </w:t>
            </w:r>
            <w:r w:rsidRPr="00827EBC">
              <w:t xml:space="preserve">March </w:t>
            </w:r>
            <w:r w:rsidR="0008414B">
              <w:t>3, 2022 predecessor</w:t>
            </w:r>
            <w:r w:rsidRPr="00827EBC">
              <w:t xml:space="preserve"> </w:t>
            </w:r>
          </w:p>
          <w:p w14:paraId="5F0C68A4" w14:textId="286637E8" w:rsidR="00C472F0" w:rsidRPr="00827EBC" w:rsidRDefault="00C472F0" w:rsidP="008E1A01">
            <w:pPr>
              <w:pStyle w:val="ListParagraph"/>
              <w:numPr>
                <w:ilvl w:val="0"/>
                <w:numId w:val="7"/>
              </w:numPr>
              <w:ind w:left="164" w:hanging="164"/>
            </w:pPr>
            <w:r w:rsidRPr="00827EBC">
              <w:t xml:space="preserve">Please elucidate the dimensions of work performed </w:t>
            </w:r>
            <w:r>
              <w:t xml:space="preserve">with respect to EOs </w:t>
            </w:r>
            <w:r w:rsidRPr="00827EBC">
              <w:t>in the Ogden UT Center</w:t>
            </w:r>
          </w:p>
          <w:p w14:paraId="36B0260A" w14:textId="614E3AA2" w:rsidR="00C472F0" w:rsidRPr="00827EBC" w:rsidRDefault="00C472F0" w:rsidP="008E1A01">
            <w:pPr>
              <w:pStyle w:val="ListParagraph"/>
              <w:numPr>
                <w:ilvl w:val="0"/>
                <w:numId w:val="7"/>
              </w:numPr>
              <w:ind w:left="164" w:hanging="164"/>
            </w:pPr>
            <w:r w:rsidRPr="00827EBC">
              <w:t xml:space="preserve">EO Entity (Ogden) – </w:t>
            </w:r>
            <w:bookmarkStart w:id="0" w:name="_Hlk101860353"/>
            <w:r>
              <w:t xml:space="preserve">please share </w:t>
            </w:r>
            <w:r w:rsidR="0008414B">
              <w:t>info on the</w:t>
            </w:r>
            <w:r>
              <w:t xml:space="preserve"> work performed in this Office</w:t>
            </w:r>
            <w:r w:rsidRPr="00827EBC">
              <w:t xml:space="preserve"> (</w:t>
            </w:r>
            <w:r>
              <w:t xml:space="preserve">e.g., </w:t>
            </w:r>
            <w:r w:rsidRPr="00827EBC">
              <w:t># of</w:t>
            </w:r>
            <w:r>
              <w:t xml:space="preserve"> EOs served, </w:t>
            </w:r>
            <w:r w:rsidRPr="00827EBC">
              <w:t>t</w:t>
            </w:r>
            <w:r>
              <w:t>ype of assistance, average t</w:t>
            </w:r>
            <w:r w:rsidRPr="00827EBC">
              <w:t>ime to work</w:t>
            </w:r>
            <w:r>
              <w:t xml:space="preserve"> and/or close a T/P’s file</w:t>
            </w:r>
            <w:r w:rsidRPr="00827EBC">
              <w:t>, volume of backlog)</w:t>
            </w:r>
            <w:r>
              <w:t>. We are particularly curious as to the handling of both:</w:t>
            </w:r>
            <w:r w:rsidRPr="00827EBC">
              <w:t xml:space="preserve"> (a) name change </w:t>
            </w:r>
            <w:r>
              <w:t xml:space="preserve">requested in writing (versus had notice been provided solely on Form 990-series filing); and </w:t>
            </w:r>
            <w:r w:rsidRPr="00827EBC">
              <w:t xml:space="preserve">(b) </w:t>
            </w:r>
            <w:r>
              <w:t xml:space="preserve">other </w:t>
            </w:r>
            <w:r w:rsidRPr="00827EBC">
              <w:t xml:space="preserve">T/P correspondence (or </w:t>
            </w:r>
            <w:r>
              <w:t xml:space="preserve">referral from </w:t>
            </w:r>
            <w:r w:rsidRPr="00827EBC">
              <w:t>CAS</w:t>
            </w:r>
            <w:r>
              <w:t xml:space="preserve">) </w:t>
            </w:r>
            <w:r w:rsidRPr="00827EBC">
              <w:t xml:space="preserve"> relating to </w:t>
            </w:r>
            <w:r>
              <w:t xml:space="preserve">requests to </w:t>
            </w:r>
            <w:r w:rsidRPr="00827EBC">
              <w:t xml:space="preserve">correct BMF </w:t>
            </w:r>
            <w:r>
              <w:t>issues</w:t>
            </w:r>
          </w:p>
          <w:bookmarkEnd w:id="0"/>
          <w:p w14:paraId="6D2C17A4" w14:textId="5AF0B55A" w:rsidR="00C472F0" w:rsidRPr="00827EBC" w:rsidRDefault="00C472F0" w:rsidP="008E1A01">
            <w:pPr>
              <w:pStyle w:val="ListParagraph"/>
              <w:numPr>
                <w:ilvl w:val="0"/>
                <w:numId w:val="7"/>
              </w:numPr>
              <w:ind w:left="164" w:hanging="164"/>
            </w:pPr>
            <w:r w:rsidRPr="00827EBC">
              <w:t>Form 1023 pay.gov website had a computer update in early Mar</w:t>
            </w:r>
            <w:r>
              <w:t xml:space="preserve">ch, and thereafter all </w:t>
            </w:r>
            <w:r w:rsidRPr="00827EBC">
              <w:t>applications “in progress”</w:t>
            </w:r>
            <w:r>
              <w:t xml:space="preserve"> were only available in pdf and not accessible for further editing.  </w:t>
            </w:r>
            <w:r w:rsidR="0008414B">
              <w:t>As a result, a</w:t>
            </w:r>
            <w:r>
              <w:t>pplicants had to re</w:t>
            </w:r>
            <w:r w:rsidRPr="00827EBC">
              <w:t>key</w:t>
            </w:r>
            <w:r>
              <w:t xml:space="preserve"> </w:t>
            </w:r>
            <w:r w:rsidRPr="00827EBC">
              <w:t xml:space="preserve">in </w:t>
            </w:r>
            <w:r>
              <w:t xml:space="preserve">all prior-entered data. Can this be avoided in the future or </w:t>
            </w:r>
            <w:r w:rsidRPr="00827EBC">
              <w:t>upcoming system update</w:t>
            </w:r>
            <w:r>
              <w:t>s noticed in advance to</w:t>
            </w:r>
            <w:r w:rsidRPr="00827EBC">
              <w:t xml:space="preserve"> alert </w:t>
            </w:r>
            <w:r>
              <w:t xml:space="preserve">applicant? </w:t>
            </w:r>
          </w:p>
          <w:p w14:paraId="5C8DEAD6" w14:textId="6192AB83" w:rsidR="00C472F0" w:rsidRPr="00827EBC" w:rsidRDefault="00C472F0" w:rsidP="008E1A01">
            <w:pPr>
              <w:pStyle w:val="ListParagraph"/>
              <w:numPr>
                <w:ilvl w:val="0"/>
                <w:numId w:val="7"/>
              </w:numPr>
              <w:ind w:left="164" w:hanging="164"/>
            </w:pPr>
            <w:r w:rsidRPr="00827EBC">
              <w:t xml:space="preserve">When an organization </w:t>
            </w:r>
            <w:r w:rsidR="0008414B">
              <w:t xml:space="preserve">realizes it has </w:t>
            </w:r>
            <w:r w:rsidRPr="00827EBC">
              <w:t xml:space="preserve">failed to </w:t>
            </w:r>
            <w:r>
              <w:t xml:space="preserve">make </w:t>
            </w:r>
            <w:r w:rsidRPr="00827EBC">
              <w:t>annual return filing</w:t>
            </w:r>
            <w:r>
              <w:t>s</w:t>
            </w:r>
            <w:r w:rsidRPr="00827EBC">
              <w:t xml:space="preserve"> on </w:t>
            </w:r>
            <w:r>
              <w:t>two consecutive years, it is not unusual for it to extend its then-3</w:t>
            </w:r>
            <w:r w:rsidRPr="00491588">
              <w:rPr>
                <w:vertAlign w:val="superscript"/>
              </w:rPr>
              <w:t>rd</w:t>
            </w:r>
            <w:r>
              <w:t xml:space="preserve"> year return’s due date. We continue to see revocations posting prior to the extended due date.  When that occurs, what recourse is available to the affected taxpayer? </w:t>
            </w:r>
          </w:p>
        </w:tc>
        <w:tc>
          <w:tcPr>
            <w:tcW w:w="2250" w:type="dxa"/>
            <w:shd w:val="clear" w:color="auto" w:fill="F2F2F2" w:themeFill="background1" w:themeFillShade="F2"/>
          </w:tcPr>
          <w:p w14:paraId="4B76F7C5" w14:textId="164913A1" w:rsidR="00C472F0" w:rsidRPr="00827EBC" w:rsidRDefault="00C472F0">
            <w:r w:rsidRPr="00827EBC">
              <w:t>Eve &amp; Jennifer</w:t>
            </w:r>
            <w:r>
              <w:t xml:space="preserve"> tee-up these five subjects – to 10:07 </w:t>
            </w:r>
          </w:p>
        </w:tc>
      </w:tr>
      <w:tr w:rsidR="00C472F0" w14:paraId="38E860CE" w14:textId="77777777" w:rsidTr="00531CAF">
        <w:tc>
          <w:tcPr>
            <w:tcW w:w="2070" w:type="dxa"/>
            <w:shd w:val="clear" w:color="auto" w:fill="F2F2F2" w:themeFill="background1" w:themeFillShade="F2"/>
          </w:tcPr>
          <w:p w14:paraId="02D7E3A0" w14:textId="35E15D92" w:rsidR="00C472F0" w:rsidRDefault="00C472F0">
            <w:r>
              <w:t>Topic #1 Prepared Remarks/Dialogue</w:t>
            </w:r>
          </w:p>
        </w:tc>
        <w:tc>
          <w:tcPr>
            <w:tcW w:w="5310" w:type="dxa"/>
            <w:shd w:val="clear" w:color="auto" w:fill="F2F2F2" w:themeFill="background1" w:themeFillShade="F2"/>
          </w:tcPr>
          <w:p w14:paraId="4775E316" w14:textId="0BCB4FF9" w:rsidR="00C472F0" w:rsidRPr="00827EBC" w:rsidRDefault="00C472F0">
            <w:r w:rsidRPr="00827EBC">
              <w:t>Current IRS Operations</w:t>
            </w:r>
          </w:p>
        </w:tc>
        <w:tc>
          <w:tcPr>
            <w:tcW w:w="2250" w:type="dxa"/>
            <w:shd w:val="clear" w:color="auto" w:fill="F2F2F2" w:themeFill="background1" w:themeFillShade="F2"/>
          </w:tcPr>
          <w:p w14:paraId="1095A287" w14:textId="36E5D506" w:rsidR="00C472F0" w:rsidRPr="00827EBC" w:rsidRDefault="00C472F0">
            <w:r w:rsidRPr="00827EBC">
              <w:t xml:space="preserve">Rob </w:t>
            </w:r>
            <w:r>
              <w:t>(with moderators’ follow-up) – to 10:15</w:t>
            </w:r>
          </w:p>
        </w:tc>
      </w:tr>
      <w:tr w:rsidR="00C472F0" w14:paraId="4AD884FB" w14:textId="77777777" w:rsidTr="00531CAF">
        <w:trPr>
          <w:trHeight w:val="8522"/>
        </w:trPr>
        <w:tc>
          <w:tcPr>
            <w:tcW w:w="2070" w:type="dxa"/>
          </w:tcPr>
          <w:p w14:paraId="78535D3C" w14:textId="032FFC4B" w:rsidR="00C472F0" w:rsidRDefault="00C472F0" w:rsidP="00941C9F">
            <w:r>
              <w:lastRenderedPageBreak/>
              <w:t>Topic #2 ~9-12 min</w:t>
            </w:r>
          </w:p>
        </w:tc>
        <w:tc>
          <w:tcPr>
            <w:tcW w:w="5310" w:type="dxa"/>
          </w:tcPr>
          <w:p w14:paraId="70998396" w14:textId="5F55A344" w:rsidR="00C472F0" w:rsidRPr="00E2714B" w:rsidRDefault="00C472F0" w:rsidP="00941C9F">
            <w:pPr>
              <w:rPr>
                <w:b/>
                <w:bCs/>
              </w:rPr>
            </w:pPr>
            <w:r w:rsidRPr="00E2714B">
              <w:rPr>
                <w:b/>
                <w:bCs/>
              </w:rPr>
              <w:t>Business Master File Data Issues</w:t>
            </w:r>
          </w:p>
          <w:p w14:paraId="77B84ED7" w14:textId="5E411B54" w:rsidR="00C472F0" w:rsidRPr="0090268B" w:rsidRDefault="00C472F0" w:rsidP="00941C9F">
            <w:pPr>
              <w:pStyle w:val="ListParagraph"/>
              <w:numPr>
                <w:ilvl w:val="0"/>
                <w:numId w:val="6"/>
              </w:numPr>
              <w:ind w:left="164" w:hanging="164"/>
            </w:pPr>
            <w:r w:rsidRPr="0090268B">
              <w:t>Shar</w:t>
            </w:r>
            <w:r>
              <w:t xml:space="preserve">ing of </w:t>
            </w:r>
            <w:r w:rsidRPr="0090268B">
              <w:t>Office of National Taxpayer Advocate</w:t>
            </w:r>
            <w:r>
              <w:t xml:space="preserve">’s </w:t>
            </w:r>
            <w:r w:rsidRPr="0090268B">
              <w:t>statistics provided, if available</w:t>
            </w:r>
          </w:p>
          <w:p w14:paraId="6797EB37" w14:textId="3D9AF77A" w:rsidR="00C472F0" w:rsidRPr="0090268B" w:rsidRDefault="00C472F0" w:rsidP="00A16C51">
            <w:pPr>
              <w:pStyle w:val="ListParagraph"/>
              <w:numPr>
                <w:ilvl w:val="0"/>
                <w:numId w:val="7"/>
              </w:numPr>
              <w:ind w:left="164" w:hanging="164"/>
            </w:pPr>
            <w:r w:rsidRPr="0090268B">
              <w:t>Overlap with Topic #1 – reserved for additional queries related to EO Entity process</w:t>
            </w:r>
            <w:r>
              <w:t>ing</w:t>
            </w:r>
            <w:r w:rsidRPr="0090268B">
              <w:t xml:space="preserve"> times</w:t>
            </w:r>
            <w:r>
              <w:t xml:space="preserve"> and/or</w:t>
            </w:r>
            <w:r w:rsidRPr="0090268B">
              <w:t xml:space="preserve"> procedures</w:t>
            </w:r>
            <w:r>
              <w:t xml:space="preserve"> in addressing EOBMF issues</w:t>
            </w:r>
          </w:p>
          <w:p w14:paraId="4500DD0E" w14:textId="709E0A03" w:rsidR="00C472F0" w:rsidRPr="0090268B" w:rsidRDefault="00C472F0" w:rsidP="00A16C51">
            <w:pPr>
              <w:pStyle w:val="ListParagraph"/>
              <w:numPr>
                <w:ilvl w:val="0"/>
                <w:numId w:val="7"/>
              </w:numPr>
              <w:ind w:left="164" w:hanging="164"/>
            </w:pPr>
            <w:r w:rsidRPr="0090268B">
              <w:rPr>
                <w:rFonts w:eastAsia="Times New Roman"/>
              </w:rPr>
              <w:t xml:space="preserve">EO Entity addresses for written correspondence (including fax #: 855-214-7520) </w:t>
            </w:r>
            <w:r>
              <w:rPr>
                <w:rFonts w:eastAsia="Times New Roman"/>
              </w:rPr>
              <w:t>were provided</w:t>
            </w:r>
            <w:r w:rsidRPr="0090268B">
              <w:rPr>
                <w:rFonts w:eastAsia="Times New Roman"/>
              </w:rPr>
              <w:t xml:space="preserve"> by you following our 3/3/2022 last Forum</w:t>
            </w:r>
            <w:r w:rsidR="0008414B">
              <w:rPr>
                <w:rFonts w:eastAsia="Times New Roman"/>
              </w:rPr>
              <w:t xml:space="preserve"> (info is provided at page </w:t>
            </w:r>
            <w:r w:rsidR="0068102B">
              <w:rPr>
                <w:rFonts w:eastAsia="Times New Roman"/>
              </w:rPr>
              <w:t>3 of this agenda’s accompanying additional info).</w:t>
            </w:r>
            <w:r w:rsidRPr="0090268B">
              <w:rPr>
                <w:rFonts w:eastAsia="Times New Roman"/>
              </w:rPr>
              <w:t xml:space="preserve"> </w:t>
            </w:r>
            <w:r>
              <w:rPr>
                <w:rFonts w:eastAsia="Times New Roman"/>
              </w:rPr>
              <w:t>We are curious as to a</w:t>
            </w:r>
            <w:r w:rsidRPr="0090268B">
              <w:rPr>
                <w:rFonts w:eastAsia="Times New Roman"/>
              </w:rPr>
              <w:t>ny limits to or explication of issues work</w:t>
            </w:r>
            <w:r w:rsidR="0008414B">
              <w:rPr>
                <w:rFonts w:eastAsia="Times New Roman"/>
              </w:rPr>
              <w:t>ed by EO Entity</w:t>
            </w:r>
            <w:r>
              <w:rPr>
                <w:rFonts w:eastAsia="Times New Roman"/>
              </w:rPr>
              <w:t xml:space="preserve"> relating to EOs’ BMF records. For example, i</w:t>
            </w:r>
            <w:r w:rsidRPr="0090268B">
              <w:rPr>
                <w:rFonts w:eastAsia="Times New Roman"/>
              </w:rPr>
              <w:t xml:space="preserve">s it only EO BMF </w:t>
            </w:r>
            <w:r>
              <w:rPr>
                <w:rFonts w:eastAsia="Times New Roman"/>
              </w:rPr>
              <w:t>A</w:t>
            </w:r>
            <w:r w:rsidRPr="0090268B">
              <w:rPr>
                <w:rFonts w:eastAsia="Times New Roman"/>
              </w:rPr>
              <w:t xml:space="preserve">bstract info </w:t>
            </w:r>
            <w:r>
              <w:rPr>
                <w:rFonts w:eastAsia="Times New Roman"/>
              </w:rPr>
              <w:t>they handle or is it the entirety of</w:t>
            </w:r>
            <w:r w:rsidR="0008414B">
              <w:rPr>
                <w:rFonts w:eastAsia="Times New Roman"/>
              </w:rPr>
              <w:t xml:space="preserve"> the</w:t>
            </w:r>
            <w:r>
              <w:rPr>
                <w:rFonts w:eastAsia="Times New Roman"/>
              </w:rPr>
              <w:t xml:space="preserve"> EOs’ </w:t>
            </w:r>
            <w:r w:rsidRPr="0090268B">
              <w:rPr>
                <w:rFonts w:eastAsia="Times New Roman"/>
              </w:rPr>
              <w:t xml:space="preserve">BMF details? </w:t>
            </w:r>
            <w:r>
              <w:rPr>
                <w:rFonts w:eastAsia="Times New Roman"/>
              </w:rPr>
              <w:t xml:space="preserve">We’d also appreciate hearing about current challenges that Office may be experiencing. </w:t>
            </w:r>
          </w:p>
          <w:p w14:paraId="72309D93" w14:textId="61FB94C5" w:rsidR="00C472F0" w:rsidRPr="0090268B" w:rsidRDefault="00C472F0" w:rsidP="00755D79">
            <w:pPr>
              <w:pStyle w:val="ListParagraph"/>
              <w:numPr>
                <w:ilvl w:val="0"/>
                <w:numId w:val="7"/>
              </w:numPr>
              <w:ind w:left="164" w:hanging="164"/>
            </w:pPr>
            <w:r>
              <w:rPr>
                <w:rFonts w:eastAsia="Times New Roman"/>
              </w:rPr>
              <w:t>Re filing 990-Ns: can</w:t>
            </w:r>
            <w:r w:rsidRPr="0090268B">
              <w:rPr>
                <w:rFonts w:eastAsia="Times New Roman"/>
              </w:rPr>
              <w:t xml:space="preserve"> EO Entity assist non-501(c)(3) </w:t>
            </w:r>
            <w:r>
              <w:rPr>
                <w:rFonts w:eastAsia="Times New Roman"/>
              </w:rPr>
              <w:t>taxpayers who are ‘s</w:t>
            </w:r>
            <w:r w:rsidRPr="0090268B">
              <w:rPr>
                <w:rFonts w:eastAsia="Times New Roman"/>
              </w:rPr>
              <w:t>elf-describe</w:t>
            </w:r>
            <w:r>
              <w:rPr>
                <w:rFonts w:eastAsia="Times New Roman"/>
              </w:rPr>
              <w:t>d</w:t>
            </w:r>
            <w:r w:rsidRPr="0090268B">
              <w:rPr>
                <w:rFonts w:eastAsia="Times New Roman"/>
              </w:rPr>
              <w:t xml:space="preserve"> exempts</w:t>
            </w:r>
            <w:r>
              <w:rPr>
                <w:rFonts w:eastAsia="Times New Roman"/>
              </w:rPr>
              <w:t>’</w:t>
            </w:r>
            <w:r w:rsidRPr="0090268B">
              <w:rPr>
                <w:rFonts w:eastAsia="Times New Roman"/>
              </w:rPr>
              <w:t xml:space="preserve"> (</w:t>
            </w:r>
            <w:r>
              <w:rPr>
                <w:rFonts w:eastAsia="Times New Roman"/>
              </w:rPr>
              <w:t xml:space="preserve">such as </w:t>
            </w:r>
            <w:r w:rsidRPr="0090268B">
              <w:rPr>
                <w:rFonts w:eastAsia="Times New Roman"/>
              </w:rPr>
              <w:t>“self-declared c4’s</w:t>
            </w:r>
            <w:r>
              <w:rPr>
                <w:rFonts w:eastAsia="Times New Roman"/>
              </w:rPr>
              <w:t xml:space="preserve">” who presumably have met their </w:t>
            </w:r>
            <w:r w:rsidRPr="0090268B">
              <w:rPr>
                <w:rFonts w:eastAsia="Times New Roman"/>
              </w:rPr>
              <w:t xml:space="preserve">Form 8976 </w:t>
            </w:r>
            <w:r>
              <w:rPr>
                <w:rFonts w:eastAsia="Times New Roman"/>
              </w:rPr>
              <w:t>filing obligation, or “self-d</w:t>
            </w:r>
            <w:r w:rsidRPr="0090268B">
              <w:rPr>
                <w:rFonts w:eastAsia="Times New Roman"/>
              </w:rPr>
              <w:t>eclared c6’s</w:t>
            </w:r>
            <w:r>
              <w:rPr>
                <w:rFonts w:eastAsia="Times New Roman"/>
              </w:rPr>
              <w:t>”</w:t>
            </w:r>
            <w:r w:rsidRPr="0090268B">
              <w:rPr>
                <w:rFonts w:eastAsia="Times New Roman"/>
              </w:rPr>
              <w:t xml:space="preserve"> who have </w:t>
            </w:r>
            <w:r>
              <w:rPr>
                <w:rFonts w:eastAsia="Times New Roman"/>
              </w:rPr>
              <w:t xml:space="preserve">no such filing obligation) in order to have them </w:t>
            </w:r>
            <w:r>
              <w:rPr>
                <w:rFonts w:eastAsia="Times New Roman"/>
                <w:i/>
                <w:iCs/>
              </w:rPr>
              <w:t xml:space="preserve">able to file </w:t>
            </w:r>
            <w:r>
              <w:rPr>
                <w:rFonts w:eastAsia="Times New Roman"/>
              </w:rPr>
              <w:t xml:space="preserve">annual return in their next reporting cycle? Similarly, can they assist 501(c)(3) churches who have NO letter ruling but now have Form 990-T filing obligation? </w:t>
            </w:r>
          </w:p>
          <w:p w14:paraId="312CBC23" w14:textId="4D611287" w:rsidR="00C472F0" w:rsidRPr="0090268B" w:rsidRDefault="00C472F0" w:rsidP="00B26912">
            <w:pPr>
              <w:pStyle w:val="ListParagraph"/>
              <w:numPr>
                <w:ilvl w:val="0"/>
                <w:numId w:val="6"/>
              </w:numPr>
              <w:ind w:left="164" w:hanging="180"/>
            </w:pPr>
            <w:r w:rsidRPr="0090268B">
              <w:t xml:space="preserve">Specific issue: very common to hear of problems that Group Ruling Holder is having with ITS EIN and those of one of its subordinates having been “switched” </w:t>
            </w:r>
          </w:p>
        </w:tc>
        <w:tc>
          <w:tcPr>
            <w:tcW w:w="2250" w:type="dxa"/>
          </w:tcPr>
          <w:p w14:paraId="1C3A4F94" w14:textId="04508F10" w:rsidR="00C472F0" w:rsidRPr="0090268B" w:rsidRDefault="00C472F0" w:rsidP="00941C9F">
            <w:r w:rsidRPr="0090268B">
              <w:t>Eve</w:t>
            </w:r>
            <w:r>
              <w:t xml:space="preserve"> to report NTA statistics (if we have them) and then tee</w:t>
            </w:r>
            <w:r w:rsidR="00BB4428">
              <w:t>s</w:t>
            </w:r>
            <w:r>
              <w:t xml:space="preserve">-up the other four subjects – end 10:18 </w:t>
            </w:r>
          </w:p>
        </w:tc>
      </w:tr>
      <w:tr w:rsidR="00C472F0" w14:paraId="584E7998" w14:textId="77777777" w:rsidTr="00531CAF">
        <w:trPr>
          <w:trHeight w:val="1160"/>
        </w:trPr>
        <w:tc>
          <w:tcPr>
            <w:tcW w:w="2070" w:type="dxa"/>
          </w:tcPr>
          <w:p w14:paraId="1DD14772" w14:textId="382135FD" w:rsidR="00C472F0" w:rsidRDefault="00C472F0" w:rsidP="00941C9F">
            <w:r>
              <w:t>Topic #2 Prepared Remarks/Dialogue</w:t>
            </w:r>
          </w:p>
        </w:tc>
        <w:tc>
          <w:tcPr>
            <w:tcW w:w="5310" w:type="dxa"/>
          </w:tcPr>
          <w:p w14:paraId="00AEB11E" w14:textId="08AEC3B3" w:rsidR="00C472F0" w:rsidRPr="003561E2" w:rsidRDefault="00C472F0" w:rsidP="003561E2">
            <w:r w:rsidRPr="00E2714B">
              <w:t>Business Master File Data Issues</w:t>
            </w:r>
          </w:p>
        </w:tc>
        <w:tc>
          <w:tcPr>
            <w:tcW w:w="2250" w:type="dxa"/>
          </w:tcPr>
          <w:p w14:paraId="48CD7110" w14:textId="0CC686FA" w:rsidR="00C472F0" w:rsidRPr="0090268B" w:rsidRDefault="00C472F0" w:rsidP="00941C9F">
            <w:r w:rsidRPr="00827EBC">
              <w:t>Rob</w:t>
            </w:r>
            <w:r>
              <w:t xml:space="preserve"> – </w:t>
            </w:r>
            <w:r>
              <w:t>end 10:</w:t>
            </w:r>
            <w:r>
              <w:t>24</w:t>
            </w:r>
          </w:p>
        </w:tc>
      </w:tr>
      <w:tr w:rsidR="00C472F0" w14:paraId="5FF84DA8" w14:textId="77777777" w:rsidTr="00531CAF">
        <w:tc>
          <w:tcPr>
            <w:tcW w:w="2070" w:type="dxa"/>
            <w:shd w:val="clear" w:color="auto" w:fill="F2F2F2" w:themeFill="background1" w:themeFillShade="F2"/>
          </w:tcPr>
          <w:p w14:paraId="118638A8" w14:textId="0982233B" w:rsidR="00C472F0" w:rsidRDefault="00C472F0" w:rsidP="00941C9F">
            <w:r>
              <w:t>Topic #3</w:t>
            </w:r>
          </w:p>
        </w:tc>
        <w:tc>
          <w:tcPr>
            <w:tcW w:w="5310" w:type="dxa"/>
            <w:shd w:val="clear" w:color="auto" w:fill="F2F2F2" w:themeFill="background1" w:themeFillShade="F2"/>
          </w:tcPr>
          <w:p w14:paraId="6D78F58B" w14:textId="39815F41" w:rsidR="00C472F0" w:rsidRPr="007238EE" w:rsidRDefault="00C472F0" w:rsidP="00941C9F">
            <w:pPr>
              <w:rPr>
                <w:b/>
                <w:bCs/>
              </w:rPr>
            </w:pPr>
            <w:r w:rsidRPr="007238EE">
              <w:rPr>
                <w:b/>
                <w:bCs/>
              </w:rPr>
              <w:t xml:space="preserve">E-filing Issues </w:t>
            </w:r>
          </w:p>
          <w:p w14:paraId="51E2BF0D" w14:textId="04D9B22A" w:rsidR="00C472F0" w:rsidRPr="0090268B" w:rsidRDefault="00C472F0" w:rsidP="00787266">
            <w:pPr>
              <w:pStyle w:val="ListParagraph"/>
              <w:numPr>
                <w:ilvl w:val="0"/>
                <w:numId w:val="5"/>
              </w:numPr>
              <w:ind w:left="164" w:hanging="164"/>
            </w:pPr>
            <w:r>
              <w:t>990-series filing on s</w:t>
            </w:r>
            <w:r w:rsidRPr="0090268B">
              <w:t xml:space="preserve">hort year begun in 2021 </w:t>
            </w:r>
            <w:r>
              <w:t xml:space="preserve">is </w:t>
            </w:r>
            <w:r w:rsidRPr="0090268B">
              <w:t>rejected unless “initial return” or “final return” box</w:t>
            </w:r>
            <w:r>
              <w:t xml:space="preserve"> </w:t>
            </w:r>
            <w:r w:rsidRPr="0090268B">
              <w:t>is checked</w:t>
            </w:r>
            <w:r>
              <w:t xml:space="preserve"> </w:t>
            </w:r>
          </w:p>
          <w:p w14:paraId="7956AF72" w14:textId="489BDC89" w:rsidR="00C472F0" w:rsidRPr="0090268B" w:rsidRDefault="00C472F0" w:rsidP="00941C9F">
            <w:pPr>
              <w:pStyle w:val="ListParagraph"/>
              <w:numPr>
                <w:ilvl w:val="0"/>
                <w:numId w:val="5"/>
              </w:numPr>
              <w:ind w:left="164" w:hanging="164"/>
            </w:pPr>
            <w:r>
              <w:t>990-series filing on s</w:t>
            </w:r>
            <w:r w:rsidRPr="0090268B">
              <w:t xml:space="preserve">hort year begun in 2022 rejected when using 2021 Form (following instructions which specify same is  to be </w:t>
            </w:r>
            <w:r>
              <w:t xml:space="preserve">made upon the 2021 Form while the </w:t>
            </w:r>
            <w:r w:rsidRPr="0090268B">
              <w:t xml:space="preserve">2022 Form </w:t>
            </w:r>
            <w:r>
              <w:t xml:space="preserve">has yet to be </w:t>
            </w:r>
            <w:r w:rsidRPr="0090268B">
              <w:t>release</w:t>
            </w:r>
            <w:r>
              <w:t>d</w:t>
            </w:r>
            <w:r w:rsidRPr="0090268B">
              <w:t>)</w:t>
            </w:r>
          </w:p>
          <w:p w14:paraId="0D959D28" w14:textId="57D3A765" w:rsidR="00C472F0" w:rsidRPr="0090268B" w:rsidRDefault="00C472F0" w:rsidP="00941C9F">
            <w:pPr>
              <w:pStyle w:val="ListParagraph"/>
              <w:numPr>
                <w:ilvl w:val="0"/>
                <w:numId w:val="5"/>
              </w:numPr>
              <w:ind w:left="164" w:hanging="164"/>
            </w:pPr>
            <w:r w:rsidRPr="0090268B">
              <w:t xml:space="preserve">Advance ruling PF-to-PC has </w:t>
            </w:r>
            <w:r>
              <w:t>Form 990 filing that is p</w:t>
            </w:r>
            <w:r w:rsidRPr="0090268B">
              <w:t xml:space="preserve">ermitted </w:t>
            </w:r>
            <w:r>
              <w:t xml:space="preserve">on </w:t>
            </w:r>
            <w:r w:rsidRPr="0090268B">
              <w:t xml:space="preserve">year rejected </w:t>
            </w:r>
            <w:r>
              <w:t xml:space="preserve">(our understanding is that </w:t>
            </w:r>
            <w:r w:rsidRPr="0090268B">
              <w:lastRenderedPageBreak/>
              <w:t>system “expects” 990-PF</w:t>
            </w:r>
            <w:r>
              <w:t xml:space="preserve"> and has not been programmed to deal with this arena)</w:t>
            </w:r>
            <w:r w:rsidRPr="0090268B">
              <w:t xml:space="preserve">  </w:t>
            </w:r>
          </w:p>
          <w:p w14:paraId="41274242" w14:textId="3FBED375" w:rsidR="00C472F0" w:rsidRDefault="00C472F0" w:rsidP="00941C9F">
            <w:pPr>
              <w:pStyle w:val="ListParagraph"/>
              <w:numPr>
                <w:ilvl w:val="0"/>
                <w:numId w:val="5"/>
              </w:numPr>
              <w:ind w:left="164" w:hanging="164"/>
            </w:pPr>
            <w:r>
              <w:t>It is common for ‘s</w:t>
            </w:r>
            <w:r w:rsidRPr="0090268B">
              <w:t>elf-declared</w:t>
            </w:r>
            <w:r>
              <w:t>’</w:t>
            </w:r>
            <w:r w:rsidRPr="0090268B">
              <w:t xml:space="preserve"> non-charitable exempt organizations </w:t>
            </w:r>
            <w:r>
              <w:t xml:space="preserve">to NOT be noted in IRS system as having a </w:t>
            </w:r>
            <w:r w:rsidRPr="0090268B">
              <w:t>990-series</w:t>
            </w:r>
            <w:r>
              <w:t xml:space="preserve"> </w:t>
            </w:r>
            <w:r w:rsidRPr="0090268B">
              <w:t>fil</w:t>
            </w:r>
            <w:r>
              <w:t xml:space="preserve">ing obligation, which results in their filings being </w:t>
            </w:r>
            <w:r w:rsidRPr="0090268B">
              <w:t>rejected</w:t>
            </w:r>
            <w:r>
              <w:rPr>
                <w:rFonts w:cstheme="minorHAnsi"/>
                <w:b/>
                <w:bCs/>
                <w:sz w:val="24"/>
                <w:szCs w:val="24"/>
              </w:rPr>
              <w:t>*</w:t>
            </w:r>
            <w:r w:rsidRPr="00387312">
              <w:rPr>
                <w:sz w:val="24"/>
                <w:szCs w:val="24"/>
              </w:rPr>
              <w:t xml:space="preserve"> </w:t>
            </w:r>
          </w:p>
          <w:p w14:paraId="2C1CFAB5" w14:textId="333725C4" w:rsidR="00C472F0" w:rsidRPr="0090268B" w:rsidRDefault="00C472F0" w:rsidP="00941C9F">
            <w:pPr>
              <w:pStyle w:val="ListParagraph"/>
              <w:numPr>
                <w:ilvl w:val="0"/>
                <w:numId w:val="5"/>
              </w:numPr>
              <w:ind w:left="164" w:hanging="164"/>
            </w:pPr>
            <w:r>
              <w:t xml:space="preserve">The preceding point also applies to churches that are forestalled from e-filing </w:t>
            </w:r>
            <w:r w:rsidRPr="0090268B">
              <w:t>Form</w:t>
            </w:r>
            <w:r>
              <w:t>s</w:t>
            </w:r>
            <w:r w:rsidRPr="0090268B">
              <w:t xml:space="preserve"> 990-T</w:t>
            </w:r>
            <w:r>
              <w:rPr>
                <w:rFonts w:cstheme="minorHAnsi"/>
                <w:b/>
                <w:bCs/>
                <w:sz w:val="24"/>
                <w:szCs w:val="24"/>
              </w:rPr>
              <w:t>*</w:t>
            </w:r>
          </w:p>
          <w:p w14:paraId="79A50D65" w14:textId="44C321D1" w:rsidR="00C472F0" w:rsidRDefault="00C472F0" w:rsidP="00941C9F">
            <w:pPr>
              <w:pStyle w:val="ListParagraph"/>
              <w:numPr>
                <w:ilvl w:val="0"/>
                <w:numId w:val="5"/>
              </w:numPr>
              <w:ind w:left="164" w:hanging="164"/>
            </w:pPr>
            <w:r w:rsidRPr="0090268B">
              <w:t xml:space="preserve">Those who have a PENDING Form 1023-EZ or 1023 are not in </w:t>
            </w:r>
            <w:r>
              <w:t xml:space="preserve">the </w:t>
            </w:r>
            <w:r w:rsidRPr="0090268B">
              <w:t xml:space="preserve">system as 990-series filers. As a result, </w:t>
            </w:r>
            <w:r>
              <w:t xml:space="preserve">when it is time for them to e-file returns, their </w:t>
            </w:r>
            <w:r w:rsidRPr="0090268B">
              <w:t>attempts are rejected</w:t>
            </w:r>
            <w:r>
              <w:rPr>
                <w:rFonts w:cstheme="minorHAnsi"/>
                <w:b/>
                <w:bCs/>
                <w:sz w:val="24"/>
                <w:szCs w:val="24"/>
              </w:rPr>
              <w:t>*</w:t>
            </w:r>
          </w:p>
          <w:p w14:paraId="387C7111" w14:textId="77777777" w:rsidR="00C472F0" w:rsidRDefault="00C472F0" w:rsidP="00802806">
            <w:pPr>
              <w:ind w:left="-14" w:firstLine="14"/>
              <w:rPr>
                <w:shd w:val="clear" w:color="auto" w:fill="F2F2F2" w:themeFill="background1" w:themeFillShade="F2"/>
              </w:rPr>
            </w:pPr>
            <w:r w:rsidRPr="00373451">
              <w:rPr>
                <w:rFonts w:cstheme="minorHAnsi"/>
                <w:b/>
                <w:bCs/>
                <w:sz w:val="24"/>
                <w:szCs w:val="24"/>
              </w:rPr>
              <w:t>*</w:t>
            </w:r>
            <w:r>
              <w:rPr>
                <w:rFonts w:cstheme="minorHAnsi"/>
                <w:b/>
                <w:bCs/>
                <w:sz w:val="24"/>
                <w:szCs w:val="24"/>
              </w:rPr>
              <w:t xml:space="preserve"> </w:t>
            </w:r>
            <w:r>
              <w:t xml:space="preserve">Taxpayers and their representatives have had mixed results when calling the e-file support phone number on these last three issues. While in some cases it takes 3 to 10 days to resolve,   there are instances where it takes much longer. It is common for the </w:t>
            </w:r>
            <w:r w:rsidRPr="0090268B">
              <w:rPr>
                <w:shd w:val="clear" w:color="auto" w:fill="F2F2F2" w:themeFill="background1" w:themeFillShade="F2"/>
              </w:rPr>
              <w:t>e-</w:t>
            </w:r>
            <w:r>
              <w:rPr>
                <w:shd w:val="clear" w:color="auto" w:fill="F2F2F2" w:themeFill="background1" w:themeFillShade="F2"/>
              </w:rPr>
              <w:t xml:space="preserve">file personnel to direct the taxpayer to call </w:t>
            </w:r>
            <w:r w:rsidRPr="0090268B">
              <w:rPr>
                <w:shd w:val="clear" w:color="auto" w:fill="F2F2F2" w:themeFill="background1" w:themeFillShade="F2"/>
              </w:rPr>
              <w:t>CAS (877-829-5500)</w:t>
            </w:r>
            <w:r>
              <w:rPr>
                <w:shd w:val="clear" w:color="auto" w:fill="F2F2F2" w:themeFill="background1" w:themeFillShade="F2"/>
              </w:rPr>
              <w:t xml:space="preserve">. In those cases, many further transfers occur and usually the taxpayer is told that they must use the e-file support number! NOTE: Direct calling </w:t>
            </w:r>
            <w:r w:rsidRPr="0090268B">
              <w:rPr>
                <w:shd w:val="clear" w:color="auto" w:fill="F2F2F2" w:themeFill="background1" w:themeFillShade="F2"/>
              </w:rPr>
              <w:t>CAS in</w:t>
            </w:r>
            <w:r>
              <w:rPr>
                <w:shd w:val="clear" w:color="auto" w:fill="F2F2F2" w:themeFill="background1" w:themeFillShade="F2"/>
              </w:rPr>
              <w:t xml:space="preserve"> the</w:t>
            </w:r>
            <w:r w:rsidRPr="0090268B">
              <w:rPr>
                <w:shd w:val="clear" w:color="auto" w:fill="F2F2F2" w:themeFill="background1" w:themeFillShade="F2"/>
              </w:rPr>
              <w:t xml:space="preserve"> past </w:t>
            </w:r>
            <w:r>
              <w:rPr>
                <w:shd w:val="clear" w:color="auto" w:fill="F2F2F2" w:themeFill="background1" w:themeFillShade="F2"/>
              </w:rPr>
              <w:t xml:space="preserve">had yielded the sought </w:t>
            </w:r>
            <w:r w:rsidRPr="0090268B">
              <w:rPr>
                <w:shd w:val="clear" w:color="auto" w:fill="F2F2F2" w:themeFill="background1" w:themeFillShade="F2"/>
              </w:rPr>
              <w:t>“fix</w:t>
            </w:r>
            <w:r>
              <w:rPr>
                <w:shd w:val="clear" w:color="auto" w:fill="F2F2F2" w:themeFill="background1" w:themeFillShade="F2"/>
              </w:rPr>
              <w:t>,</w:t>
            </w:r>
            <w:r w:rsidRPr="0090268B">
              <w:rPr>
                <w:shd w:val="clear" w:color="auto" w:fill="F2F2F2" w:themeFill="background1" w:themeFillShade="F2"/>
              </w:rPr>
              <w:t>”</w:t>
            </w:r>
            <w:r>
              <w:rPr>
                <w:shd w:val="clear" w:color="auto" w:fill="F2F2F2" w:themeFill="background1" w:themeFillShade="F2"/>
              </w:rPr>
              <w:t xml:space="preserve"> but that has not been the case for quite a while now. </w:t>
            </w:r>
          </w:p>
          <w:p w14:paraId="3A9750FC" w14:textId="2710543D" w:rsidR="00C472F0" w:rsidRPr="0090268B" w:rsidRDefault="00C472F0" w:rsidP="00802806">
            <w:pPr>
              <w:ind w:left="-14" w:firstLine="14"/>
            </w:pPr>
            <w:r>
              <w:rPr>
                <w:shd w:val="clear" w:color="auto" w:fill="F2F2F2" w:themeFill="background1" w:themeFillShade="F2"/>
              </w:rPr>
              <w:t>Any guidance you can provide would be helpful!</w:t>
            </w:r>
          </w:p>
        </w:tc>
        <w:tc>
          <w:tcPr>
            <w:tcW w:w="2250" w:type="dxa"/>
            <w:shd w:val="clear" w:color="auto" w:fill="F2F2F2" w:themeFill="background1" w:themeFillShade="F2"/>
          </w:tcPr>
          <w:p w14:paraId="5A0A981B" w14:textId="0ECD16BF" w:rsidR="00C472F0" w:rsidRPr="0090268B" w:rsidRDefault="00C472F0" w:rsidP="00941C9F">
            <w:r w:rsidRPr="0090268B">
              <w:lastRenderedPageBreak/>
              <w:t>Jennifer</w:t>
            </w:r>
            <w:r>
              <w:t xml:space="preserve"> </w:t>
            </w:r>
            <w:r w:rsidR="00BB4428">
              <w:t>to</w:t>
            </w:r>
            <w:r>
              <w:t xml:space="preserve"> tee-up these six subjects – end 10:27</w:t>
            </w:r>
          </w:p>
        </w:tc>
      </w:tr>
      <w:tr w:rsidR="00C472F0" w14:paraId="4E69691A" w14:textId="77777777" w:rsidTr="00531CAF">
        <w:tc>
          <w:tcPr>
            <w:tcW w:w="2070" w:type="dxa"/>
            <w:shd w:val="clear" w:color="auto" w:fill="F2F2F2" w:themeFill="background1" w:themeFillShade="F2"/>
          </w:tcPr>
          <w:p w14:paraId="53C7FCF2" w14:textId="32080AD4" w:rsidR="00C472F0" w:rsidRDefault="00C472F0" w:rsidP="00941C9F">
            <w:r>
              <w:t>Topic #3 Prepared Remarks/Dialogue</w:t>
            </w:r>
          </w:p>
        </w:tc>
        <w:tc>
          <w:tcPr>
            <w:tcW w:w="5310" w:type="dxa"/>
            <w:shd w:val="clear" w:color="auto" w:fill="F2F2F2" w:themeFill="background1" w:themeFillShade="F2"/>
          </w:tcPr>
          <w:p w14:paraId="7091CA32" w14:textId="399ABD19" w:rsidR="00C472F0" w:rsidRDefault="00C472F0" w:rsidP="00941C9F">
            <w:r>
              <w:t>E-filing Issues</w:t>
            </w:r>
          </w:p>
          <w:p w14:paraId="3B6AF43A" w14:textId="68CF3785" w:rsidR="00C472F0" w:rsidRDefault="00C472F0" w:rsidP="00941C9F"/>
        </w:tc>
        <w:tc>
          <w:tcPr>
            <w:tcW w:w="2250" w:type="dxa"/>
            <w:shd w:val="clear" w:color="auto" w:fill="F2F2F2" w:themeFill="background1" w:themeFillShade="F2"/>
          </w:tcPr>
          <w:p w14:paraId="11283B0D" w14:textId="386B06ED" w:rsidR="00C472F0" w:rsidRDefault="00C472F0" w:rsidP="00941C9F">
            <w:r>
              <w:t xml:space="preserve">Rob – end 10:33 </w:t>
            </w:r>
          </w:p>
        </w:tc>
      </w:tr>
      <w:tr w:rsidR="00C472F0" w14:paraId="10AF485C" w14:textId="77777777" w:rsidTr="00531CAF">
        <w:trPr>
          <w:trHeight w:val="1700"/>
        </w:trPr>
        <w:tc>
          <w:tcPr>
            <w:tcW w:w="2070" w:type="dxa"/>
          </w:tcPr>
          <w:p w14:paraId="3CF1EF00" w14:textId="32A33051" w:rsidR="00C472F0" w:rsidRPr="002768DF" w:rsidRDefault="00C472F0" w:rsidP="000D556E">
            <w:r>
              <w:t>Topic #4</w:t>
            </w:r>
            <w:r w:rsidRPr="002768DF">
              <w:t xml:space="preserve"> Feedback</w:t>
            </w:r>
          </w:p>
        </w:tc>
        <w:tc>
          <w:tcPr>
            <w:tcW w:w="5310" w:type="dxa"/>
          </w:tcPr>
          <w:p w14:paraId="75AB0C95" w14:textId="2C012640" w:rsidR="00C472F0" w:rsidRPr="002768DF" w:rsidRDefault="00C472F0" w:rsidP="00941C9F">
            <w:r w:rsidRPr="002768DF">
              <w:t>IRS Webpages – Feedback</w:t>
            </w:r>
          </w:p>
          <w:p w14:paraId="43252623" w14:textId="4CFD0199" w:rsidR="00C472F0" w:rsidRPr="002768DF" w:rsidRDefault="00C472F0" w:rsidP="008B7748">
            <w:pPr>
              <w:pStyle w:val="ListParagraph"/>
              <w:numPr>
                <w:ilvl w:val="0"/>
                <w:numId w:val="5"/>
              </w:numPr>
              <w:ind w:left="196" w:hanging="180"/>
            </w:pPr>
            <w:r w:rsidRPr="002768DF">
              <w:t xml:space="preserve">EO BMF page hasn’t been updated to direct those needing correction to send written correspondence </w:t>
            </w:r>
            <w:r>
              <w:t xml:space="preserve">by </w:t>
            </w:r>
            <w:r w:rsidRPr="002768DF">
              <w:t>mail/delivery or fax to “EO Entity”</w:t>
            </w:r>
            <w:r>
              <w:t xml:space="preserve"> (slide will show those addresses!)</w:t>
            </w:r>
          </w:p>
          <w:p w14:paraId="0ABFCDA4" w14:textId="7E12302B" w:rsidR="00C472F0" w:rsidRPr="00F54E8D" w:rsidRDefault="00C472F0" w:rsidP="00494080">
            <w:pPr>
              <w:pStyle w:val="ListParagraph"/>
              <w:numPr>
                <w:ilvl w:val="0"/>
                <w:numId w:val="5"/>
              </w:numPr>
              <w:ind w:left="196" w:hanging="180"/>
              <w:rPr>
                <w:rFonts w:eastAsia="Times New Roman"/>
                <w:b/>
                <w:bCs/>
              </w:rPr>
            </w:pPr>
            <w:r>
              <w:t xml:space="preserve">Webpage titled “About Us,” </w:t>
            </w:r>
            <w:hyperlink r:id="rId8" w:history="1">
              <w:r w:rsidR="00F54E8D" w:rsidRPr="007675FF">
                <w:rPr>
                  <w:rStyle w:val="Hyperlink"/>
                </w:rPr>
                <w:t>https://www.irs.gov/charities-non-profits/contact-irs-exempt-organizations</w:t>
              </w:r>
            </w:hyperlink>
            <w:r w:rsidR="00F54E8D">
              <w:t xml:space="preserve"> </w:t>
            </w:r>
            <w:hyperlink r:id="rId9" w:history="1"/>
            <w:r>
              <w:t>states</w:t>
            </w:r>
            <w:r w:rsidRPr="00494080">
              <w:rPr>
                <w:rFonts w:eastAsia="Times New Roman"/>
              </w:rPr>
              <w:t xml:space="preserve"> that taxpayers may “</w:t>
            </w:r>
            <w:r w:rsidRPr="00494080">
              <w:rPr>
                <w:rFonts w:eastAsia="Times New Roman"/>
                <w:i/>
                <w:iCs/>
              </w:rPr>
              <w:t xml:space="preserve">obtain a determinations letter applying to a specific set of facts, </w:t>
            </w:r>
            <w:r w:rsidRPr="00494080">
              <w:rPr>
                <w:rFonts w:eastAsia="Times New Roman"/>
                <w:b/>
                <w:bCs/>
              </w:rPr>
              <w:t xml:space="preserve">or </w:t>
            </w:r>
            <w:r w:rsidRPr="00494080">
              <w:rPr>
                <w:rFonts w:eastAsia="Times New Roman"/>
                <w:i/>
                <w:iCs/>
              </w:rPr>
              <w:t xml:space="preserve">… send copies of amended documents </w:t>
            </w:r>
            <w:r w:rsidRPr="00494080">
              <w:rPr>
                <w:rFonts w:eastAsia="Times New Roman"/>
              </w:rPr>
              <w:t xml:space="preserve">to EO Determinations by mail or fax ((855) 204-6184). Can you elucidate what is being referenced in those two cases?  </w:t>
            </w:r>
          </w:p>
          <w:p w14:paraId="60B95FD6" w14:textId="04FA3230" w:rsidR="00C472F0" w:rsidRDefault="00C472F0" w:rsidP="006B0D78">
            <w:pPr>
              <w:pStyle w:val="ListParagraph"/>
              <w:numPr>
                <w:ilvl w:val="0"/>
                <w:numId w:val="5"/>
              </w:numPr>
              <w:spacing w:after="0" w:line="240" w:lineRule="auto"/>
              <w:ind w:left="196" w:hanging="180"/>
            </w:pPr>
            <w:r>
              <w:lastRenderedPageBreak/>
              <w:t xml:space="preserve">Webpage titled “Change of Name – Exempt Organizations”, </w:t>
            </w:r>
            <w:hyperlink r:id="rId10" w:history="1">
              <w:r w:rsidRPr="000E0EC4">
                <w:rPr>
                  <w:rStyle w:val="Hyperlink"/>
                </w:rPr>
                <w:t>https://www.irs.gov/charities-non-profits/charitable-organizations/change-of-name-exempt-organizations</w:t>
              </w:r>
            </w:hyperlink>
            <w:r>
              <w:t xml:space="preserve"> states: </w:t>
            </w:r>
          </w:p>
          <w:p w14:paraId="429E7DB8" w14:textId="50ACBA38" w:rsidR="00C472F0" w:rsidRPr="00047892" w:rsidRDefault="00C472F0" w:rsidP="00203602">
            <w:pPr>
              <w:pStyle w:val="ListParagraph"/>
              <w:spacing w:after="0" w:line="240" w:lineRule="auto"/>
              <w:ind w:left="256"/>
            </w:pPr>
            <w:r w:rsidRPr="00047892">
              <w:rPr>
                <w:rFonts w:ascii="Source Sans Pro" w:hAnsi="Source Sans Pro"/>
                <w:i/>
                <w:iCs/>
                <w:color w:val="1B1B1B"/>
                <w:shd w:val="clear" w:color="auto" w:fill="FFFFFF"/>
              </w:rPr>
              <w:t xml:space="preserve">An exempt organization that has changed its name </w:t>
            </w:r>
            <w:r w:rsidRPr="00047892">
              <w:rPr>
                <w:rFonts w:ascii="Source Sans Pro" w:hAnsi="Source Sans Pro"/>
                <w:i/>
                <w:iCs/>
                <w:color w:val="1B1B1B"/>
                <w:u w:val="single"/>
                <w:shd w:val="clear" w:color="auto" w:fill="FFFFFF"/>
              </w:rPr>
              <w:t>generally</w:t>
            </w:r>
            <w:r w:rsidRPr="00047892">
              <w:rPr>
                <w:rFonts w:ascii="Source Sans Pro" w:hAnsi="Source Sans Pro"/>
                <w:i/>
                <w:iCs/>
                <w:color w:val="1B1B1B"/>
                <w:shd w:val="clear" w:color="auto" w:fill="FFFFFF"/>
              </w:rPr>
              <w:t xml:space="preserve"> must report the change on its next </w:t>
            </w:r>
            <w:r w:rsidRPr="004E0BEC">
              <w:rPr>
                <w:rFonts w:ascii="Source Sans Pro" w:hAnsi="Source Sans Pro"/>
                <w:i/>
                <w:iCs/>
                <w:shd w:val="clear" w:color="auto" w:fill="FFFFFF"/>
              </w:rPr>
              <w:t>annual return</w:t>
            </w:r>
            <w:r w:rsidRPr="00047892">
              <w:rPr>
                <w:rFonts w:ascii="Source Sans Pro" w:hAnsi="Source Sans Pro"/>
                <w:i/>
                <w:iCs/>
                <w:color w:val="1B1B1B"/>
                <w:shd w:val="clear" w:color="auto" w:fill="FFFFFF"/>
              </w:rPr>
              <w:t> (such as Form 990 or 990-EZ).  An organization that does not file an annual return (for example, an organization that instead files </w:t>
            </w:r>
            <w:r w:rsidRPr="004E0BEC">
              <w:rPr>
                <w:rFonts w:ascii="Source Sans Pro" w:hAnsi="Source Sans Pro"/>
                <w:i/>
                <w:iCs/>
                <w:shd w:val="clear" w:color="auto" w:fill="FFFFFF"/>
              </w:rPr>
              <w:t>Form 990-N, the e-Postcard</w:t>
            </w:r>
            <w:r w:rsidRPr="00047892">
              <w:rPr>
                <w:rFonts w:ascii="Source Sans Pro" w:hAnsi="Source Sans Pro"/>
                <w:i/>
                <w:iCs/>
                <w:color w:val="1B1B1B"/>
                <w:shd w:val="clear" w:color="auto" w:fill="FFFFFF"/>
              </w:rPr>
              <w:t xml:space="preserve">), </w:t>
            </w:r>
            <w:r w:rsidRPr="00047892">
              <w:rPr>
                <w:rFonts w:ascii="Source Sans Pro" w:hAnsi="Source Sans Pro"/>
                <w:i/>
                <w:iCs/>
                <w:color w:val="1B1B1B"/>
                <w:u w:val="single"/>
                <w:shd w:val="clear" w:color="auto" w:fill="FFFFFF"/>
              </w:rPr>
              <w:t>or an organization that wants a letter acknowledging the name change</w:t>
            </w:r>
            <w:r w:rsidRPr="00047892">
              <w:rPr>
                <w:rFonts w:ascii="Source Sans Pro" w:hAnsi="Source Sans Pro"/>
                <w:i/>
                <w:iCs/>
                <w:color w:val="1B1B1B"/>
                <w:shd w:val="clear" w:color="auto" w:fill="FFFFFF"/>
              </w:rPr>
              <w:t>, may report the change of name by letter or fax (not by phone) to </w:t>
            </w:r>
            <w:r w:rsidRPr="004E0BEC">
              <w:rPr>
                <w:rFonts w:ascii="Source Sans Pro" w:hAnsi="Source Sans Pro"/>
                <w:i/>
                <w:iCs/>
                <w:shd w:val="clear" w:color="auto" w:fill="FFFFFF"/>
              </w:rPr>
              <w:t>Customer Account Services</w:t>
            </w:r>
            <w:r w:rsidRPr="00047892">
              <w:rPr>
                <w:rFonts w:ascii="Source Sans Pro" w:hAnsi="Source Sans Pro"/>
                <w:i/>
                <w:iCs/>
                <w:color w:val="1B1B1B"/>
                <w:shd w:val="clear" w:color="auto" w:fill="FFFFFF"/>
              </w:rPr>
              <w:t>.</w:t>
            </w:r>
            <w:r>
              <w:rPr>
                <w:rFonts w:ascii="Source Sans Pro" w:hAnsi="Source Sans Pro"/>
                <w:i/>
                <w:iCs/>
                <w:color w:val="1B1B1B"/>
                <w:shd w:val="clear" w:color="auto" w:fill="FFFFFF"/>
              </w:rPr>
              <w:t xml:space="preserve">                                                                                                 </w:t>
            </w:r>
            <w:r>
              <w:rPr>
                <w:rFonts w:ascii="Source Sans Pro" w:hAnsi="Source Sans Pro"/>
                <w:color w:val="1B1B1B"/>
                <w:shd w:val="clear" w:color="auto" w:fill="FFFFFF"/>
              </w:rPr>
              <w:t>[Underlining has been added] Language there generates three questions:</w:t>
            </w:r>
          </w:p>
          <w:p w14:paraId="5763A7E4" w14:textId="2A290B43" w:rsidR="00C472F0" w:rsidRDefault="00C472F0" w:rsidP="00203602">
            <w:pPr>
              <w:pStyle w:val="ListParagraph"/>
              <w:spacing w:after="0" w:line="240" w:lineRule="auto"/>
              <w:ind w:left="166" w:hanging="166"/>
            </w:pPr>
            <w:r>
              <w:rPr>
                <w:b/>
                <w:bCs/>
              </w:rPr>
              <w:t xml:space="preserve">Q1:  </w:t>
            </w:r>
            <w:r>
              <w:t xml:space="preserve">Where is written notice of name change to be sent when a taxpayer desires to notice the IRS of the fact of its name change </w:t>
            </w:r>
            <w:r>
              <w:rPr>
                <w:i/>
                <w:iCs/>
              </w:rPr>
              <w:t xml:space="preserve">prior to </w:t>
            </w:r>
            <w:r>
              <w:t xml:space="preserve">filing their next Form 990-series annual return? </w:t>
            </w:r>
          </w:p>
          <w:p w14:paraId="003E8F47" w14:textId="77777777" w:rsidR="00C472F0" w:rsidRDefault="00C472F0" w:rsidP="003E68BE">
            <w:pPr>
              <w:pStyle w:val="ListParagraph"/>
              <w:spacing w:after="0" w:line="240" w:lineRule="auto"/>
              <w:ind w:left="166" w:hanging="166"/>
            </w:pPr>
            <w:r>
              <w:rPr>
                <w:b/>
                <w:bCs/>
              </w:rPr>
              <w:t>Q2:</w:t>
            </w:r>
            <w:r>
              <w:t xml:space="preserve">  Is written notice to the IRS of the taxpayer’s  name change only to be provided by filers of Form 990-N? </w:t>
            </w:r>
          </w:p>
          <w:p w14:paraId="37110DDC" w14:textId="0D70E697" w:rsidR="00C472F0" w:rsidRPr="00570B40" w:rsidRDefault="00C472F0" w:rsidP="00FE1E66">
            <w:pPr>
              <w:pStyle w:val="ListParagraph"/>
              <w:spacing w:after="0" w:line="240" w:lineRule="auto"/>
              <w:ind w:left="166" w:hanging="166"/>
            </w:pPr>
            <w:r w:rsidRPr="009642BA">
              <w:rPr>
                <w:b/>
                <w:bCs/>
              </w:rPr>
              <w:t>Q3</w:t>
            </w:r>
            <w:r>
              <w:rPr>
                <w:b/>
                <w:bCs/>
              </w:rPr>
              <w:t xml:space="preserve"> &amp; Q4</w:t>
            </w:r>
            <w:r w:rsidRPr="009642BA">
              <w:rPr>
                <w:b/>
                <w:bCs/>
              </w:rPr>
              <w:t xml:space="preserve">: </w:t>
            </w:r>
            <w:r>
              <w:t xml:space="preserve">When an EO seeks a confirming letter acknowledging the name change how shall it proceed if its 990-series annual filing has noticed the name change but same is not yet reflected in the EOBMF? Can you give us a ballpark of wait time for the issuance of such confirmation letters currently?  </w:t>
            </w:r>
          </w:p>
          <w:p w14:paraId="1E16D58F" w14:textId="7B60C869" w:rsidR="00C472F0" w:rsidRPr="009642BA" w:rsidRDefault="00C472F0" w:rsidP="003E68BE">
            <w:pPr>
              <w:pStyle w:val="ListParagraph"/>
              <w:spacing w:after="0" w:line="240" w:lineRule="auto"/>
              <w:ind w:left="166" w:hanging="166"/>
              <w:rPr>
                <w:b/>
                <w:bCs/>
              </w:rPr>
            </w:pPr>
          </w:p>
        </w:tc>
        <w:tc>
          <w:tcPr>
            <w:tcW w:w="2250" w:type="dxa"/>
          </w:tcPr>
          <w:p w14:paraId="6D0B8605" w14:textId="357A085B" w:rsidR="00C472F0" w:rsidRPr="002768DF" w:rsidRDefault="00C472F0" w:rsidP="00941C9F">
            <w:r w:rsidRPr="002768DF">
              <w:lastRenderedPageBreak/>
              <w:t>Eve</w:t>
            </w:r>
            <w:r>
              <w:t xml:space="preserve"> </w:t>
            </w:r>
            <w:r w:rsidR="00BB4428">
              <w:t xml:space="preserve">to </w:t>
            </w:r>
            <w:r>
              <w:t xml:space="preserve">tee-up the first two points as needed and summarize the “name change” procedural questions – end 10:37 </w:t>
            </w:r>
          </w:p>
        </w:tc>
      </w:tr>
      <w:tr w:rsidR="00C472F0" w14:paraId="13339C90" w14:textId="77777777" w:rsidTr="00531CAF">
        <w:tc>
          <w:tcPr>
            <w:tcW w:w="2070" w:type="dxa"/>
          </w:tcPr>
          <w:p w14:paraId="2F77B948" w14:textId="6F8D02EE" w:rsidR="00C472F0" w:rsidRPr="002768DF" w:rsidRDefault="00C472F0" w:rsidP="001F7FEC">
            <w:r w:rsidRPr="002768DF">
              <w:t>Topic #4 Prepared Remarks/Dialogue</w:t>
            </w:r>
          </w:p>
        </w:tc>
        <w:tc>
          <w:tcPr>
            <w:tcW w:w="5310" w:type="dxa"/>
          </w:tcPr>
          <w:p w14:paraId="1FED55B9" w14:textId="646E94DF" w:rsidR="00C472F0" w:rsidRPr="002768DF" w:rsidRDefault="00C472F0" w:rsidP="001F7FEC">
            <w:r w:rsidRPr="002768DF">
              <w:t>IRS Webpages – Feedback</w:t>
            </w:r>
          </w:p>
        </w:tc>
        <w:tc>
          <w:tcPr>
            <w:tcW w:w="2250" w:type="dxa"/>
          </w:tcPr>
          <w:p w14:paraId="6EFE5B3E" w14:textId="0CF8C06F" w:rsidR="00C472F0" w:rsidRPr="002768DF" w:rsidRDefault="00C472F0" w:rsidP="001F7FEC">
            <w:r w:rsidRPr="002768DF">
              <w:t xml:space="preserve">Rob </w:t>
            </w:r>
            <w:r>
              <w:t>– end 10:45</w:t>
            </w:r>
          </w:p>
        </w:tc>
      </w:tr>
      <w:tr w:rsidR="00C472F0" w14:paraId="24B886FE" w14:textId="77777777" w:rsidTr="00531CAF">
        <w:tc>
          <w:tcPr>
            <w:tcW w:w="2070" w:type="dxa"/>
            <w:shd w:val="clear" w:color="auto" w:fill="F2F2F2" w:themeFill="background1" w:themeFillShade="F2"/>
          </w:tcPr>
          <w:p w14:paraId="2BC62A8F" w14:textId="2A980E87" w:rsidR="00C472F0" w:rsidRPr="002768DF" w:rsidRDefault="00C472F0" w:rsidP="001F7FEC">
            <w:r w:rsidRPr="002768DF">
              <w:t>Topic #5</w:t>
            </w:r>
          </w:p>
        </w:tc>
        <w:tc>
          <w:tcPr>
            <w:tcW w:w="5310" w:type="dxa"/>
            <w:shd w:val="clear" w:color="auto" w:fill="F2F2F2" w:themeFill="background1" w:themeFillShade="F2"/>
          </w:tcPr>
          <w:p w14:paraId="5812EB06" w14:textId="332BEC90" w:rsidR="00C472F0" w:rsidRPr="009325DE" w:rsidRDefault="00C472F0" w:rsidP="003D71EB">
            <w:pPr>
              <w:ind w:left="166" w:hanging="166"/>
              <w:rPr>
                <w:b/>
                <w:bCs/>
              </w:rPr>
            </w:pPr>
            <w:r w:rsidRPr="009325DE">
              <w:rPr>
                <w:b/>
                <w:bCs/>
              </w:rPr>
              <w:t>Form 4720 issues</w:t>
            </w:r>
          </w:p>
          <w:p w14:paraId="5E76F46E" w14:textId="101A0FE4" w:rsidR="00C472F0" w:rsidRPr="002768DF" w:rsidRDefault="00C472F0" w:rsidP="003D71EB">
            <w:pPr>
              <w:ind w:left="166" w:hanging="166"/>
            </w:pPr>
            <w:r>
              <w:rPr>
                <w:u w:val="single"/>
              </w:rPr>
              <w:t>R</w:t>
            </w:r>
            <w:r w:rsidRPr="00203602">
              <w:rPr>
                <w:u w:val="single"/>
              </w:rPr>
              <w:t>ecurring systematic issues</w:t>
            </w:r>
            <w:r>
              <w:rPr>
                <w:u w:val="single"/>
              </w:rPr>
              <w:t xml:space="preserve"> we note</w:t>
            </w:r>
            <w:r w:rsidRPr="002768DF">
              <w:t>:</w:t>
            </w:r>
          </w:p>
          <w:p w14:paraId="371F1001" w14:textId="11B1436F" w:rsidR="00C472F0" w:rsidRPr="002768DF" w:rsidRDefault="00C472F0" w:rsidP="003D71EB">
            <w:pPr>
              <w:pStyle w:val="ListParagraph"/>
              <w:numPr>
                <w:ilvl w:val="0"/>
                <w:numId w:val="21"/>
              </w:numPr>
              <w:ind w:left="166" w:hanging="166"/>
            </w:pPr>
            <w:r w:rsidRPr="002768DF">
              <w:t>Forms 4720 filed by PF</w:t>
            </w:r>
            <w:r>
              <w:t>s</w:t>
            </w:r>
            <w:r w:rsidRPr="002768DF">
              <w:t xml:space="preserve"> to </w:t>
            </w:r>
            <w:r>
              <w:t>report the</w:t>
            </w:r>
            <w:r w:rsidRPr="002768DF">
              <w:t xml:space="preserve"> excise tax on a self-dealer yield</w:t>
            </w:r>
            <w:r>
              <w:t>s an</w:t>
            </w:r>
            <w:r w:rsidRPr="002768DF">
              <w:t xml:space="preserve"> eventual notice TO THE PF to pay the excise tax (even though it is the disqualified person</w:t>
            </w:r>
            <w:r>
              <w:t xml:space="preserve">, not the PF, who is </w:t>
            </w:r>
            <w:r w:rsidRPr="002768DF">
              <w:t xml:space="preserve"> liable for</w:t>
            </w:r>
            <w:r>
              <w:t xml:space="preserve">, and may </w:t>
            </w:r>
            <w:r w:rsidRPr="002768DF">
              <w:t>already hav</w:t>
            </w:r>
            <w:r>
              <w:t xml:space="preserve">e </w:t>
            </w:r>
            <w:r w:rsidRPr="002768DF">
              <w:t>paid</w:t>
            </w:r>
            <w:r>
              <w:t>,</w:t>
            </w:r>
            <w:r w:rsidRPr="002768DF">
              <w:t xml:space="preserve"> the tax). </w:t>
            </w:r>
          </w:p>
          <w:p w14:paraId="43EABE7B" w14:textId="58D19A7E" w:rsidR="00C472F0" w:rsidRPr="002768DF" w:rsidRDefault="00C472F0" w:rsidP="003D71EB">
            <w:pPr>
              <w:pStyle w:val="ListParagraph"/>
              <w:numPr>
                <w:ilvl w:val="0"/>
                <w:numId w:val="21"/>
              </w:numPr>
              <w:ind w:left="166" w:hanging="166"/>
            </w:pPr>
            <w:r w:rsidRPr="002768DF">
              <w:t xml:space="preserve">Returns filed by an exempt organization (separately from the disqualified persons) to report </w:t>
            </w:r>
            <w:r>
              <w:t xml:space="preserve">either a Code sec. 4958 </w:t>
            </w:r>
            <w:r w:rsidRPr="002768DF">
              <w:t xml:space="preserve">excess benefit transaction or </w:t>
            </w:r>
            <w:r>
              <w:t xml:space="preserve">a Code sec. 4941 </w:t>
            </w:r>
            <w:r w:rsidRPr="002768DF">
              <w:t xml:space="preserve">self-dealing are being rejected </w:t>
            </w:r>
            <w:r>
              <w:t xml:space="preserve">because the </w:t>
            </w:r>
            <w:r w:rsidRPr="002768DF">
              <w:t xml:space="preserve">organization does not have an amount due on the filing on page 1 of the </w:t>
            </w:r>
            <w:r>
              <w:t>Form</w:t>
            </w:r>
            <w:r w:rsidRPr="002768DF">
              <w:t>. The returns have been prepared based on the instructions.</w:t>
            </w:r>
          </w:p>
          <w:p w14:paraId="01316C6F" w14:textId="0E542086" w:rsidR="00C472F0" w:rsidRPr="002768DF" w:rsidRDefault="00C472F0" w:rsidP="006E32FD">
            <w:pPr>
              <w:ind w:left="166" w:hanging="166"/>
            </w:pPr>
            <w:r w:rsidRPr="00FB591D">
              <w:rPr>
                <w:u w:val="single"/>
              </w:rPr>
              <w:lastRenderedPageBreak/>
              <w:t>Recurring procedural questions</w:t>
            </w:r>
            <w:r w:rsidRPr="002768DF">
              <w:t>:</w:t>
            </w:r>
          </w:p>
          <w:p w14:paraId="09DF7451" w14:textId="643152FA" w:rsidR="00C472F0" w:rsidRPr="002768DF" w:rsidRDefault="00C472F0" w:rsidP="00F41826">
            <w:pPr>
              <w:pStyle w:val="ListParagraph"/>
              <w:numPr>
                <w:ilvl w:val="0"/>
                <w:numId w:val="21"/>
              </w:numPr>
              <w:ind w:left="166" w:hanging="166"/>
            </w:pPr>
            <w:r w:rsidRPr="002768DF">
              <w:t xml:space="preserve">When </w:t>
            </w:r>
            <w:r>
              <w:t xml:space="preserve">a Form </w:t>
            </w:r>
            <w:r w:rsidRPr="002768DF">
              <w:t xml:space="preserve">4720 </w:t>
            </w:r>
            <w:r>
              <w:t>is filed by a tax</w:t>
            </w:r>
            <w:r w:rsidRPr="002768DF">
              <w:t xml:space="preserve">payer </w:t>
            </w:r>
            <w:r>
              <w:t xml:space="preserve">who </w:t>
            </w:r>
            <w:r w:rsidRPr="002768DF">
              <w:t>believes they have reasonable cause to abate the excise tax (</w:t>
            </w:r>
            <w:r>
              <w:t xml:space="preserve">other than </w:t>
            </w:r>
            <w:r w:rsidRPr="002768DF">
              <w:t xml:space="preserve">an act of self-dealing under Sec. 4941), what are the proper steps for filing a claim of refund upon Form 843? Should the claim be filed at the same time as the Form 4720 or should it be filed only after the penalty has been assessed?  </w:t>
            </w:r>
            <w:r>
              <w:t xml:space="preserve">Can </w:t>
            </w:r>
            <w:r w:rsidRPr="002768DF">
              <w:t>the Form 843 be attached to the Form 4720 and provided  to the appropriate office at the IRS?</w:t>
            </w:r>
          </w:p>
        </w:tc>
        <w:tc>
          <w:tcPr>
            <w:tcW w:w="2250" w:type="dxa"/>
            <w:shd w:val="clear" w:color="auto" w:fill="F2F2F2" w:themeFill="background1" w:themeFillShade="F2"/>
          </w:tcPr>
          <w:p w14:paraId="5C7DF01C" w14:textId="08C1584A" w:rsidR="00C472F0" w:rsidRPr="002768DF" w:rsidRDefault="00C472F0" w:rsidP="001F7FEC">
            <w:r w:rsidRPr="002768DF">
              <w:lastRenderedPageBreak/>
              <w:t>Jennifer</w:t>
            </w:r>
            <w:r>
              <w:t xml:space="preserve"> – end 10:48</w:t>
            </w:r>
          </w:p>
        </w:tc>
      </w:tr>
      <w:tr w:rsidR="00C472F0" w14:paraId="640914AF" w14:textId="77777777" w:rsidTr="00531CAF">
        <w:tc>
          <w:tcPr>
            <w:tcW w:w="2070" w:type="dxa"/>
            <w:shd w:val="clear" w:color="auto" w:fill="F2F2F2" w:themeFill="background1" w:themeFillShade="F2"/>
          </w:tcPr>
          <w:p w14:paraId="561F7CEA" w14:textId="0E61428F" w:rsidR="00C472F0" w:rsidRPr="002768DF" w:rsidRDefault="00C472F0" w:rsidP="001F7FEC">
            <w:r w:rsidRPr="002768DF">
              <w:t>Topic #5 Prepared Remarks/Dialogue</w:t>
            </w:r>
          </w:p>
        </w:tc>
        <w:tc>
          <w:tcPr>
            <w:tcW w:w="5310" w:type="dxa"/>
            <w:shd w:val="clear" w:color="auto" w:fill="F2F2F2" w:themeFill="background1" w:themeFillShade="F2"/>
          </w:tcPr>
          <w:p w14:paraId="78BB3E54" w14:textId="1C14DAB7" w:rsidR="00C472F0" w:rsidRPr="002768DF" w:rsidRDefault="00C472F0" w:rsidP="001F7FEC">
            <w:r w:rsidRPr="002768DF">
              <w:t>Form 4720 issues</w:t>
            </w:r>
          </w:p>
        </w:tc>
        <w:tc>
          <w:tcPr>
            <w:tcW w:w="2250" w:type="dxa"/>
            <w:shd w:val="clear" w:color="auto" w:fill="F2F2F2" w:themeFill="background1" w:themeFillShade="F2"/>
          </w:tcPr>
          <w:p w14:paraId="42532290" w14:textId="7B612841" w:rsidR="00C472F0" w:rsidRPr="002768DF" w:rsidRDefault="00C472F0" w:rsidP="001F7FEC">
            <w:r w:rsidRPr="002768DF">
              <w:t xml:space="preserve">Rob </w:t>
            </w:r>
            <w:r>
              <w:t>– end 10:54</w:t>
            </w:r>
          </w:p>
        </w:tc>
      </w:tr>
      <w:tr w:rsidR="00C472F0" w14:paraId="7901723E" w14:textId="77777777" w:rsidTr="00531CAF">
        <w:tc>
          <w:tcPr>
            <w:tcW w:w="9630" w:type="dxa"/>
            <w:gridSpan w:val="3"/>
            <w:shd w:val="clear" w:color="auto" w:fill="auto"/>
          </w:tcPr>
          <w:p w14:paraId="548F689D" w14:textId="77777777" w:rsidR="00531CAF" w:rsidRDefault="00531CAF" w:rsidP="00C472F0">
            <w:pPr>
              <w:jc w:val="center"/>
              <w:rPr>
                <w:b/>
                <w:bCs/>
              </w:rPr>
            </w:pPr>
          </w:p>
          <w:p w14:paraId="584E683F" w14:textId="77777777" w:rsidR="00BB4428" w:rsidRDefault="00BB4428" w:rsidP="00C472F0">
            <w:pPr>
              <w:jc w:val="center"/>
              <w:rPr>
                <w:b/>
                <w:bCs/>
              </w:rPr>
            </w:pPr>
          </w:p>
          <w:p w14:paraId="663513C8" w14:textId="0EF496EB" w:rsidR="00BB4428" w:rsidRDefault="00531CAF" w:rsidP="00C472F0">
            <w:pPr>
              <w:jc w:val="center"/>
              <w:rPr>
                <w:b/>
                <w:bCs/>
              </w:rPr>
            </w:pPr>
            <w:r>
              <w:rPr>
                <w:b/>
                <w:bCs/>
              </w:rPr>
              <w:t xml:space="preserve">Thank you to </w:t>
            </w:r>
            <w:r w:rsidR="006A599B">
              <w:rPr>
                <w:b/>
                <w:bCs/>
              </w:rPr>
              <w:t xml:space="preserve">OUR </w:t>
            </w:r>
            <w:r w:rsidR="00C472F0" w:rsidRPr="00E30D6E">
              <w:rPr>
                <w:b/>
                <w:bCs/>
              </w:rPr>
              <w:t>IRS PANELISTS</w:t>
            </w:r>
            <w:r w:rsidR="00BB4428">
              <w:rPr>
                <w:b/>
                <w:bCs/>
              </w:rPr>
              <w:t>, Rob Malone AND Tim Berger</w:t>
            </w:r>
            <w:r>
              <w:rPr>
                <w:b/>
                <w:bCs/>
              </w:rPr>
              <w:t xml:space="preserve"> </w:t>
            </w:r>
          </w:p>
          <w:p w14:paraId="31406878" w14:textId="77777777" w:rsidR="00C472F0" w:rsidRDefault="00531CAF" w:rsidP="00C472F0">
            <w:pPr>
              <w:jc w:val="center"/>
              <w:rPr>
                <w:b/>
                <w:bCs/>
              </w:rPr>
            </w:pPr>
            <w:r>
              <w:rPr>
                <w:b/>
                <w:bCs/>
              </w:rPr>
              <w:t xml:space="preserve">(they </w:t>
            </w:r>
            <w:r w:rsidR="00C472F0">
              <w:rPr>
                <w:b/>
                <w:bCs/>
              </w:rPr>
              <w:t>are departing at 10</w:t>
            </w:r>
            <w:r w:rsidR="00C472F0" w:rsidRPr="00E30D6E">
              <w:rPr>
                <w:b/>
                <w:bCs/>
              </w:rPr>
              <w:t xml:space="preserve">:55 </w:t>
            </w:r>
            <w:r w:rsidR="00C472F0">
              <w:rPr>
                <w:b/>
                <w:bCs/>
              </w:rPr>
              <w:t>am</w:t>
            </w:r>
            <w:r>
              <w:rPr>
                <w:b/>
                <w:bCs/>
              </w:rPr>
              <w:t>)</w:t>
            </w:r>
          </w:p>
          <w:p w14:paraId="36ED87C5" w14:textId="518332CB" w:rsidR="00BB4428" w:rsidRPr="00E30D6E" w:rsidRDefault="00BB4428" w:rsidP="00C472F0">
            <w:pPr>
              <w:jc w:val="center"/>
              <w:rPr>
                <w:b/>
                <w:bCs/>
              </w:rPr>
            </w:pPr>
          </w:p>
        </w:tc>
      </w:tr>
      <w:tr w:rsidR="00C472F0" w14:paraId="2FA9B000" w14:textId="77777777" w:rsidTr="00531CAF">
        <w:tc>
          <w:tcPr>
            <w:tcW w:w="9630" w:type="dxa"/>
            <w:gridSpan w:val="3"/>
            <w:shd w:val="clear" w:color="auto" w:fill="auto"/>
          </w:tcPr>
          <w:p w14:paraId="1831A90B" w14:textId="77777777" w:rsidR="00531CAF" w:rsidRDefault="00531CAF" w:rsidP="00C472F0">
            <w:pPr>
              <w:jc w:val="center"/>
              <w:rPr>
                <w:b/>
                <w:bCs/>
              </w:rPr>
            </w:pPr>
          </w:p>
          <w:p w14:paraId="72BC2B8C" w14:textId="00CCF297" w:rsidR="00531CAF" w:rsidRDefault="00C472F0" w:rsidP="00C472F0">
            <w:pPr>
              <w:jc w:val="center"/>
              <w:rPr>
                <w:b/>
                <w:bCs/>
              </w:rPr>
            </w:pPr>
            <w:r w:rsidRPr="00C472F0">
              <w:rPr>
                <w:b/>
                <w:bCs/>
              </w:rPr>
              <w:t>Switchover to Further</w:t>
            </w:r>
            <w:r w:rsidR="00BB4428">
              <w:rPr>
                <w:b/>
                <w:bCs/>
              </w:rPr>
              <w:t xml:space="preserve"> Materials</w:t>
            </w:r>
            <w:r w:rsidRPr="00C472F0">
              <w:rPr>
                <w:b/>
                <w:bCs/>
              </w:rPr>
              <w:t xml:space="preserve"> Presentation by Moderators</w:t>
            </w:r>
            <w:r w:rsidR="00531CAF">
              <w:rPr>
                <w:b/>
                <w:bCs/>
              </w:rPr>
              <w:t xml:space="preserve"> – </w:t>
            </w:r>
          </w:p>
          <w:p w14:paraId="529B57FF" w14:textId="77777777" w:rsidR="00C472F0" w:rsidRDefault="00C472F0" w:rsidP="00C472F0">
            <w:pPr>
              <w:jc w:val="center"/>
              <w:rPr>
                <w:b/>
                <w:bCs/>
              </w:rPr>
            </w:pPr>
            <w:r w:rsidRPr="00C472F0">
              <w:rPr>
                <w:b/>
                <w:bCs/>
              </w:rPr>
              <w:t>Session ends at 11:10 a</w:t>
            </w:r>
            <w:r>
              <w:rPr>
                <w:b/>
                <w:bCs/>
              </w:rPr>
              <w:t>m</w:t>
            </w:r>
          </w:p>
          <w:p w14:paraId="3E34A87C" w14:textId="157207A1" w:rsidR="006A599B" w:rsidRPr="00C472F0" w:rsidRDefault="006A599B" w:rsidP="00C472F0">
            <w:pPr>
              <w:jc w:val="center"/>
              <w:rPr>
                <w:b/>
                <w:bCs/>
              </w:rPr>
            </w:pPr>
          </w:p>
        </w:tc>
      </w:tr>
    </w:tbl>
    <w:p w14:paraId="70263498" w14:textId="77777777" w:rsidR="00FF6029" w:rsidRDefault="00FF6029">
      <w:pPr>
        <w:spacing w:after="0" w:line="240" w:lineRule="auto"/>
        <w:sectPr w:rsidR="00FF6029" w:rsidSect="00E5270C">
          <w:footerReference w:type="default" r:id="rId11"/>
          <w:pgSz w:w="12240" w:h="15840"/>
          <w:pgMar w:top="1440" w:right="1800" w:bottom="1440" w:left="1800" w:header="720" w:footer="720" w:gutter="0"/>
          <w:pgNumType w:start="1"/>
          <w:cols w:space="720"/>
          <w:docGrid w:linePitch="360"/>
        </w:sectPr>
      </w:pPr>
    </w:p>
    <w:p w14:paraId="627263AE" w14:textId="77777777" w:rsidR="003D6C02" w:rsidRDefault="003D6C02">
      <w:pPr>
        <w:spacing w:after="0" w:line="240" w:lineRule="auto"/>
      </w:pPr>
    </w:p>
    <w:p w14:paraId="4F498907" w14:textId="417E1CA7" w:rsidR="004E6972" w:rsidRDefault="009325DE" w:rsidP="009659E1">
      <w:pPr>
        <w:spacing w:after="0" w:line="240" w:lineRule="auto"/>
        <w:jc w:val="center"/>
        <w:rPr>
          <w:rFonts w:ascii="Times New Roman" w:hAnsi="Times New Roman" w:cs="Times New Roman"/>
          <w:b/>
          <w:bCs/>
        </w:rPr>
        <w:sectPr w:rsidR="004E6972" w:rsidSect="006A599B">
          <w:footerReference w:type="default" r:id="rId12"/>
          <w:pgSz w:w="12240" w:h="15840"/>
          <w:pgMar w:top="1440" w:right="1800" w:bottom="1440" w:left="1800" w:header="720" w:footer="720" w:gutter="0"/>
          <w:pgNumType w:start="1"/>
          <w:cols w:space="720"/>
          <w:docGrid w:linePitch="360"/>
        </w:sectPr>
      </w:pPr>
      <w:r>
        <w:rPr>
          <w:b/>
          <w:bCs/>
        </w:rPr>
        <w:t>ANCILLARY INFORMATION ON SOME OF OUR REQUESTS</w:t>
      </w:r>
    </w:p>
    <w:p w14:paraId="1AFFE61C" w14:textId="531AAD7B" w:rsidR="006F6E18" w:rsidRDefault="006F6E18" w:rsidP="00FF6029">
      <w:pPr>
        <w:spacing w:after="0" w:line="240" w:lineRule="auto"/>
        <w:rPr>
          <w:b/>
          <w:bCs/>
        </w:rPr>
        <w:sectPr w:rsidR="006F6E18" w:rsidSect="004E6972">
          <w:type w:val="continuous"/>
          <w:pgSz w:w="12240" w:h="15840"/>
          <w:pgMar w:top="1440" w:right="1800" w:bottom="1440" w:left="1800" w:header="720" w:footer="720" w:gutter="0"/>
          <w:pgNumType w:start="1"/>
          <w:cols w:space="720"/>
          <w:docGrid w:linePitch="360"/>
        </w:sectPr>
      </w:pPr>
    </w:p>
    <w:p w14:paraId="0A05089D" w14:textId="77777777" w:rsidR="004E6972" w:rsidRDefault="000E3C31" w:rsidP="009325DE">
      <w:pPr>
        <w:rPr>
          <w:b/>
          <w:bCs/>
        </w:rPr>
        <w:sectPr w:rsidR="004E6972" w:rsidSect="006F6E18">
          <w:type w:val="continuous"/>
          <w:pgSz w:w="12240" w:h="15840"/>
          <w:pgMar w:top="1440" w:right="1800" w:bottom="1440" w:left="1800" w:header="720" w:footer="720" w:gutter="0"/>
          <w:pgNumType w:start="1"/>
          <w:cols w:space="720"/>
          <w:docGrid w:linePitch="360"/>
        </w:sectPr>
      </w:pPr>
      <w:r w:rsidRPr="009325DE">
        <w:rPr>
          <w:b/>
          <w:bCs/>
        </w:rPr>
        <w:t xml:space="preserve">TOPIC </w:t>
      </w:r>
      <w:r w:rsidR="009325DE">
        <w:rPr>
          <w:b/>
          <w:bCs/>
        </w:rPr>
        <w:t>2</w:t>
      </w:r>
      <w:r w:rsidRPr="009325DE">
        <w:rPr>
          <w:b/>
          <w:bCs/>
        </w:rPr>
        <w:t xml:space="preserve">: </w:t>
      </w:r>
      <w:r w:rsidR="009325DE" w:rsidRPr="00E2714B">
        <w:rPr>
          <w:b/>
          <w:bCs/>
        </w:rPr>
        <w:t>Business Master File Data Issues</w:t>
      </w:r>
    </w:p>
    <w:p w14:paraId="5BA55B15" w14:textId="39CFDAB1" w:rsidR="009325DE" w:rsidRDefault="009325DE" w:rsidP="003D7B1A">
      <w:pPr>
        <w:spacing w:after="0" w:line="240" w:lineRule="auto"/>
      </w:pPr>
      <w:r>
        <w:t>Regarding absence of a c3-qualified entity in Publication 78 and/or a c3 entity having its public charity/private foundation classification misreported</w:t>
      </w:r>
      <w:r w:rsidR="004E6972">
        <w:t xml:space="preserve"> in the EO BMF Abstract and thus all databases that draw from it</w:t>
      </w:r>
      <w:r>
        <w:t>:</w:t>
      </w:r>
    </w:p>
    <w:p w14:paraId="40F0BF0E" w14:textId="77777777" w:rsidR="009325DE" w:rsidRDefault="009325DE" w:rsidP="003D7B1A">
      <w:pPr>
        <w:spacing w:after="0" w:line="240" w:lineRule="auto"/>
      </w:pPr>
    </w:p>
    <w:p w14:paraId="5BCF6328" w14:textId="0F16748D" w:rsidR="00E62B93" w:rsidRDefault="00802806" w:rsidP="003D7B1A">
      <w:pPr>
        <w:tabs>
          <w:tab w:val="left" w:pos="630"/>
        </w:tabs>
        <w:spacing w:after="0" w:line="240" w:lineRule="auto"/>
        <w:ind w:left="360" w:hanging="90"/>
      </w:pPr>
      <w:r>
        <w:tab/>
      </w:r>
      <w:r w:rsidR="00A34CD8">
        <w:t xml:space="preserve">Rev. Proc. </w:t>
      </w:r>
      <w:r w:rsidR="00726D8F">
        <w:t xml:space="preserve">2018-32’s Section 6 specifically states that donors’ reliance on the tax-exemption and public charity statuses of </w:t>
      </w:r>
      <w:r w:rsidR="00C278A2">
        <w:t>a potential donee</w:t>
      </w:r>
      <w:r w:rsidR="00726D8F">
        <w:t xml:space="preserve"> </w:t>
      </w:r>
      <w:r w:rsidR="00C278A2">
        <w:t xml:space="preserve">in order to be entitled to </w:t>
      </w:r>
      <w:r w:rsidR="00726D8F">
        <w:t>a charitable contribution deduction is predicated on the donee organization</w:t>
      </w:r>
      <w:r w:rsidR="00E62B93">
        <w:t xml:space="preserve"> being listed in </w:t>
      </w:r>
      <w:r w:rsidR="00D02327">
        <w:t xml:space="preserve">the </w:t>
      </w:r>
      <w:r w:rsidR="00E62B93">
        <w:t>Tax Exempt Organization Search</w:t>
      </w:r>
      <w:r w:rsidR="00D02327">
        <w:t xml:space="preserve"> (Pub. 78 data</w:t>
      </w:r>
      <w:r w:rsidR="00E62B93">
        <w:t xml:space="preserve">) or the EO BMF </w:t>
      </w:r>
      <w:r w:rsidR="004E6972">
        <w:t>Abs</w:t>
      </w:r>
      <w:r w:rsidR="00E62B93">
        <w:t>tract</w:t>
      </w:r>
      <w:r w:rsidR="00D02327">
        <w:t>, as follows:</w:t>
      </w:r>
    </w:p>
    <w:p w14:paraId="48ADBD61" w14:textId="77777777" w:rsidR="00802806" w:rsidRDefault="00802806" w:rsidP="003D7B1A">
      <w:pPr>
        <w:pStyle w:val="ListParagraph"/>
        <w:tabs>
          <w:tab w:val="left" w:pos="630"/>
        </w:tabs>
        <w:spacing w:after="0" w:line="240" w:lineRule="auto"/>
        <w:ind w:left="360" w:hanging="90"/>
      </w:pPr>
    </w:p>
    <w:p w14:paraId="059CEE5E" w14:textId="22483F36" w:rsidR="00E62B93" w:rsidRDefault="00E62B93" w:rsidP="003D7B1A">
      <w:pPr>
        <w:pStyle w:val="ListParagraph"/>
        <w:tabs>
          <w:tab w:val="left" w:pos="630"/>
        </w:tabs>
        <w:spacing w:after="0" w:line="240" w:lineRule="auto"/>
        <w:ind w:left="540"/>
      </w:pPr>
      <w:r>
        <w:t>Section 6.01</w:t>
      </w:r>
      <w:r w:rsidR="00D02327">
        <w:t xml:space="preserve"> sets out that the listing in TEOS’ </w:t>
      </w:r>
      <w:r>
        <w:t>Pub</w:t>
      </w:r>
      <w:r w:rsidR="00D02327">
        <w:t xml:space="preserve">. 78 </w:t>
      </w:r>
      <w:r>
        <w:t xml:space="preserve">or the EO BMF Extract </w:t>
      </w:r>
      <w:r w:rsidR="00D02327">
        <w:t xml:space="preserve">must identify the organization </w:t>
      </w:r>
      <w:r>
        <w:t xml:space="preserve">with its “official name, its recognized popular name, or a contraction of either of these names that is reasonably identifiable or widely known.” </w:t>
      </w:r>
    </w:p>
    <w:p w14:paraId="73ACF7B4" w14:textId="2834EC92" w:rsidR="006F51BA" w:rsidRDefault="00726D8F" w:rsidP="003D7B1A">
      <w:pPr>
        <w:tabs>
          <w:tab w:val="left" w:pos="630"/>
        </w:tabs>
        <w:spacing w:after="0" w:line="240" w:lineRule="auto"/>
        <w:ind w:left="540"/>
      </w:pPr>
      <w:r>
        <w:t>Section 6.02</w:t>
      </w:r>
      <w:r w:rsidR="00D02327">
        <w:t xml:space="preserve"> sets out that donors are only entitled to the reliance provisions accorded in earlier sections </w:t>
      </w:r>
      <w:r w:rsidR="00C278A2">
        <w:t>of the Rev. Proc. (</w:t>
      </w:r>
      <w:r w:rsidR="00D02327">
        <w:t xml:space="preserve">as to </w:t>
      </w:r>
      <w:r w:rsidR="00C278A2">
        <w:t xml:space="preserve">continued reliance in the case of revocation and as to </w:t>
      </w:r>
      <w:r w:rsidR="00D02327">
        <w:t xml:space="preserve">the accuracy of the classifications the organization </w:t>
      </w:r>
      <w:r w:rsidR="006F51BA">
        <w:t xml:space="preserve">has been </w:t>
      </w:r>
      <w:r w:rsidR="00D02327">
        <w:t>listed with</w:t>
      </w:r>
      <w:r w:rsidR="00C278A2">
        <w:t>)</w:t>
      </w:r>
      <w:r w:rsidR="00D02327">
        <w:t xml:space="preserve"> “do not apply to an organization until it is </w:t>
      </w:r>
      <w:r w:rsidR="006F51BA">
        <w:t>l</w:t>
      </w:r>
      <w:r w:rsidR="00D02327">
        <w:t xml:space="preserve">isted in or covered by the Tax Exempt Organization Search (Pub. 78 Data) or the EO BMF Abstract.” </w:t>
      </w:r>
    </w:p>
    <w:p w14:paraId="11646D97" w14:textId="77777777" w:rsidR="00C278A2" w:rsidRDefault="00C278A2" w:rsidP="003D7B1A">
      <w:pPr>
        <w:pStyle w:val="ListParagraph"/>
        <w:tabs>
          <w:tab w:val="left" w:pos="630"/>
        </w:tabs>
        <w:spacing w:after="0" w:line="240" w:lineRule="auto"/>
        <w:ind w:left="360" w:hanging="90"/>
      </w:pPr>
    </w:p>
    <w:p w14:paraId="1FC2AD30" w14:textId="65EA9124" w:rsidR="00C278A2" w:rsidRDefault="00802806" w:rsidP="003D7B1A">
      <w:pPr>
        <w:pStyle w:val="ListParagraph"/>
        <w:tabs>
          <w:tab w:val="left" w:pos="630"/>
        </w:tabs>
        <w:spacing w:after="0" w:line="240" w:lineRule="auto"/>
        <w:ind w:left="360" w:hanging="90"/>
      </w:pPr>
      <w:r>
        <w:tab/>
      </w:r>
      <w:r w:rsidR="006F51BA">
        <w:t>There is thus substantial urgency to having an organization’s name change properly rostered in the EO BMF Abstract timely.</w:t>
      </w:r>
      <w:r w:rsidR="00C278A2">
        <w:t xml:space="preserve"> </w:t>
      </w:r>
      <w:r w:rsidR="006F51BA">
        <w:t xml:space="preserve">How organizations are to accomplish that is addressed by </w:t>
      </w:r>
      <w:r w:rsidR="00C278A2">
        <w:t xml:space="preserve">divergent </w:t>
      </w:r>
      <w:r w:rsidR="006F51BA">
        <w:t xml:space="preserve">information </w:t>
      </w:r>
      <w:r w:rsidR="00C278A2">
        <w:t xml:space="preserve">within </w:t>
      </w:r>
      <w:r w:rsidR="006F51BA">
        <w:t>the current Form 990 instructions and the IRS web page on the topic</w:t>
      </w:r>
      <w:r w:rsidR="00C278A2">
        <w:t xml:space="preserve"> </w:t>
      </w:r>
      <w:r w:rsidR="006F51BA">
        <w:t>EO name change</w:t>
      </w:r>
      <w:r w:rsidR="00C278A2">
        <w:t>s</w:t>
      </w:r>
      <w:r w:rsidR="006F51BA">
        <w:t>. T</w:t>
      </w:r>
      <w:r w:rsidR="00CD62AE">
        <w:t xml:space="preserve">he </w:t>
      </w:r>
      <w:r w:rsidR="00C278A2">
        <w:t xml:space="preserve">990 instructions </w:t>
      </w:r>
      <w:r w:rsidR="00601EB4">
        <w:t xml:space="preserve">state that </w:t>
      </w:r>
      <w:r w:rsidR="00C314DC">
        <w:t xml:space="preserve">the Header’s name change box </w:t>
      </w:r>
      <w:r w:rsidR="00C278A2">
        <w:t xml:space="preserve">is to be </w:t>
      </w:r>
      <w:r w:rsidR="00C314DC">
        <w:t xml:space="preserve">checked “if the organization </w:t>
      </w:r>
      <w:r w:rsidR="00C314DC" w:rsidRPr="00CD62AE">
        <w:rPr>
          <w:u w:val="single"/>
        </w:rPr>
        <w:t xml:space="preserve">hasn’t reported the change on its most recently filed Form 990 or 990-EZ </w:t>
      </w:r>
      <w:r w:rsidR="00C314DC" w:rsidRPr="00CD62AE">
        <w:rPr>
          <w:b/>
          <w:bCs/>
          <w:u w:val="single"/>
        </w:rPr>
        <w:t>or</w:t>
      </w:r>
      <w:r w:rsidR="00C314DC" w:rsidRPr="00CD62AE">
        <w:rPr>
          <w:u w:val="single"/>
        </w:rPr>
        <w:t xml:space="preserve"> in correspondence to the IRS</w:t>
      </w:r>
      <w:r w:rsidR="00C314DC">
        <w:t>.”</w:t>
      </w:r>
      <w:r w:rsidR="00C278A2">
        <w:t xml:space="preserve"> [bold added for emphasis</w:t>
      </w:r>
      <w:r w:rsidR="00B42876">
        <w:t xml:space="preserve">] </w:t>
      </w:r>
    </w:p>
    <w:p w14:paraId="25C85E29" w14:textId="77777777" w:rsidR="00C278A2" w:rsidRDefault="00C278A2" w:rsidP="003D7B1A">
      <w:pPr>
        <w:pStyle w:val="ListParagraph"/>
        <w:spacing w:after="0" w:line="240" w:lineRule="auto"/>
        <w:ind w:left="1440"/>
      </w:pPr>
    </w:p>
    <w:p w14:paraId="6920D262" w14:textId="547D9D66" w:rsidR="008139A5" w:rsidRDefault="008139A5" w:rsidP="003D7B1A">
      <w:r>
        <w:t>Regarding last bullet-point’s issue</w:t>
      </w:r>
      <w:r w:rsidR="0042094F">
        <w:t xml:space="preserve"> (frequent </w:t>
      </w:r>
      <w:r>
        <w:t>miscoding of Group Ruling Holder and/or its subordinates</w:t>
      </w:r>
      <w:r w:rsidR="004E6972">
        <w:t xml:space="preserve">): </w:t>
      </w:r>
      <w:r>
        <w:t>This topic comes up on virtually every practitioner call and meeting. I</w:t>
      </w:r>
      <w:r w:rsidR="004E6972">
        <w:t xml:space="preserve">t would be </w:t>
      </w:r>
      <w:r>
        <w:t xml:space="preserve"> helpful if you would </w:t>
      </w:r>
      <w:r w:rsidR="00BB08FC">
        <w:t xml:space="preserve"> illuminate what processes are in place by which a Group Ruling Holder’s annual updating of subordinates affects </w:t>
      </w:r>
      <w:r w:rsidR="004E6972">
        <w:t xml:space="preserve">these taxpayers’ </w:t>
      </w:r>
      <w:r w:rsidR="00BB08FC">
        <w:t xml:space="preserve">BMF </w:t>
      </w:r>
      <w:r w:rsidR="004E6972">
        <w:t xml:space="preserve">data </w:t>
      </w:r>
      <w:r w:rsidR="00BB08FC">
        <w:t>inputs</w:t>
      </w:r>
      <w:r>
        <w:t xml:space="preserve">. We </w:t>
      </w:r>
      <w:r w:rsidR="00CD62AE">
        <w:t xml:space="preserve">assume </w:t>
      </w:r>
      <w:r>
        <w:t xml:space="preserve">that </w:t>
      </w:r>
      <w:r w:rsidR="004E6972">
        <w:t xml:space="preserve">this annual </w:t>
      </w:r>
      <w:r>
        <w:t xml:space="preserve">updating </w:t>
      </w:r>
      <w:r w:rsidR="00CD62AE">
        <w:t xml:space="preserve">is an </w:t>
      </w:r>
      <w:r w:rsidR="00A62A7F">
        <w:t xml:space="preserve">exceedingly </w:t>
      </w:r>
      <w:r w:rsidR="00263267">
        <w:t>laborious task</w:t>
      </w:r>
      <w:r>
        <w:t xml:space="preserve">. </w:t>
      </w:r>
      <w:r w:rsidR="00263267">
        <w:t xml:space="preserve"> </w:t>
      </w:r>
      <w:r>
        <w:t>Unfortunately, there is much evidence across the last 2+ years of tons of inadvertent name and EIN “switches”. These</w:t>
      </w:r>
      <w:r w:rsidR="004E6972">
        <w:t xml:space="preserve"> </w:t>
      </w:r>
      <w:r>
        <w:t xml:space="preserve">typically </w:t>
      </w:r>
      <w:r w:rsidR="004E6972">
        <w:t xml:space="preserve">come to light either </w:t>
      </w:r>
      <w:r>
        <w:t xml:space="preserve">when </w:t>
      </w:r>
      <w:r w:rsidR="004E6972">
        <w:t xml:space="preserve">a </w:t>
      </w:r>
      <w:r>
        <w:t>Group Ruling Holder</w:t>
      </w:r>
      <w:r w:rsidR="004E6972">
        <w:t xml:space="preserve"> </w:t>
      </w:r>
      <w:r>
        <w:t>attempt</w:t>
      </w:r>
      <w:r w:rsidR="004E6972">
        <w:t>s</w:t>
      </w:r>
      <w:r>
        <w:t xml:space="preserve"> to file their 990 </w:t>
      </w:r>
      <w:r w:rsidR="004E6972">
        <w:t>(</w:t>
      </w:r>
      <w:r>
        <w:t xml:space="preserve">or their group 990 </w:t>
      </w:r>
      <w:r w:rsidR="004E6972">
        <w:t xml:space="preserve">for </w:t>
      </w:r>
      <w:r>
        <w:t>some or all subordinates</w:t>
      </w:r>
      <w:r w:rsidR="004E6972">
        <w:t>)</w:t>
      </w:r>
      <w:r>
        <w:t xml:space="preserve"> or when </w:t>
      </w:r>
      <w:r w:rsidR="004E6972">
        <w:t xml:space="preserve">a </w:t>
      </w:r>
      <w:r>
        <w:t>subordinate</w:t>
      </w:r>
      <w:r w:rsidR="004E6972">
        <w:t xml:space="preserve"> that was N</w:t>
      </w:r>
      <w:r>
        <w:t>OT included in the “group 990” attempt</w:t>
      </w:r>
      <w:r w:rsidR="004E6972">
        <w:t>s</w:t>
      </w:r>
      <w:r>
        <w:t xml:space="preserve"> to file their 990.</w:t>
      </w:r>
    </w:p>
    <w:p w14:paraId="3359B41C" w14:textId="77777777" w:rsidR="00A130C9" w:rsidRDefault="00A130C9" w:rsidP="00A130C9">
      <w:pPr>
        <w:spacing w:after="0" w:line="240" w:lineRule="auto"/>
        <w:rPr>
          <w:b/>
          <w:bCs/>
        </w:rPr>
      </w:pPr>
    </w:p>
    <w:p w14:paraId="65F03458" w14:textId="1AF3F557" w:rsidR="00A130C9" w:rsidRDefault="00A130C9" w:rsidP="00A130C9">
      <w:pPr>
        <w:spacing w:after="0" w:line="240" w:lineRule="auto"/>
        <w:rPr>
          <w:b/>
          <w:bCs/>
        </w:rPr>
      </w:pPr>
      <w:r w:rsidRPr="00494080">
        <w:rPr>
          <w:b/>
          <w:bCs/>
        </w:rPr>
        <w:t xml:space="preserve">TOPIC </w:t>
      </w:r>
      <w:r>
        <w:rPr>
          <w:b/>
          <w:bCs/>
        </w:rPr>
        <w:t>3</w:t>
      </w:r>
      <w:r w:rsidRPr="00494080">
        <w:rPr>
          <w:b/>
          <w:bCs/>
        </w:rPr>
        <w:t xml:space="preserve">: </w:t>
      </w:r>
      <w:r>
        <w:rPr>
          <w:b/>
          <w:bCs/>
        </w:rPr>
        <w:t>E-filing Issues</w:t>
      </w:r>
    </w:p>
    <w:p w14:paraId="1C17C953" w14:textId="77777777" w:rsidR="00FF6029" w:rsidRDefault="00FF6029" w:rsidP="00A130C9">
      <w:pPr>
        <w:spacing w:after="0" w:line="240" w:lineRule="auto"/>
        <w:rPr>
          <w:b/>
          <w:bCs/>
        </w:rPr>
      </w:pPr>
    </w:p>
    <w:p w14:paraId="66A8D87C" w14:textId="348E5993" w:rsidR="006F6E18" w:rsidRPr="0090268B" w:rsidRDefault="006F6E18" w:rsidP="006F6E18">
      <w:r>
        <w:t>Regarding 990-series filing on s</w:t>
      </w:r>
      <w:r w:rsidRPr="0090268B">
        <w:t>hort year</w:t>
      </w:r>
      <w:r w:rsidR="009D6133">
        <w:t>s</w:t>
      </w:r>
      <w:r w:rsidRPr="0090268B">
        <w:t xml:space="preserve"> begun in 2021 </w:t>
      </w:r>
      <w:r>
        <w:t>being rejected</w:t>
      </w:r>
      <w:r w:rsidR="009D6133">
        <w:t xml:space="preserve">:  </w:t>
      </w:r>
      <w:r>
        <w:t xml:space="preserve">The e-help support line is suggesting the work-around </w:t>
      </w:r>
      <w:r w:rsidR="009D6133">
        <w:t xml:space="preserve">noted here </w:t>
      </w:r>
      <w:r>
        <w:t>(in the case of a non-final return filer)</w:t>
      </w:r>
      <w:r w:rsidR="009D6133">
        <w:t xml:space="preserve"> which </w:t>
      </w:r>
      <w:r>
        <w:t xml:space="preserve">is to check the </w:t>
      </w:r>
      <w:r w:rsidRPr="0090268B">
        <w:t xml:space="preserve">“initial return” </w:t>
      </w:r>
      <w:r>
        <w:t>box. Filers are not happy using such a mechanical “fix” when it is patently false.</w:t>
      </w:r>
    </w:p>
    <w:p w14:paraId="6FAAD667" w14:textId="3A55F06D" w:rsidR="009659E1" w:rsidRPr="009659E1" w:rsidRDefault="009659E1" w:rsidP="003D7B1A">
      <w:pPr>
        <w:spacing w:after="0" w:line="240" w:lineRule="auto"/>
      </w:pPr>
    </w:p>
    <w:p w14:paraId="661FF636" w14:textId="265928C1" w:rsidR="003D6C02" w:rsidRPr="00494080" w:rsidRDefault="009659E1" w:rsidP="003D7B1A">
      <w:pPr>
        <w:spacing w:after="0" w:line="240" w:lineRule="auto"/>
        <w:rPr>
          <w:b/>
          <w:bCs/>
        </w:rPr>
      </w:pPr>
      <w:r w:rsidRPr="00494080">
        <w:rPr>
          <w:b/>
          <w:bCs/>
        </w:rPr>
        <w:t xml:space="preserve">TOPIC </w:t>
      </w:r>
      <w:r w:rsidR="00494080">
        <w:rPr>
          <w:b/>
          <w:bCs/>
        </w:rPr>
        <w:t>4</w:t>
      </w:r>
      <w:r w:rsidRPr="00494080">
        <w:rPr>
          <w:b/>
          <w:bCs/>
        </w:rPr>
        <w:t xml:space="preserve">: </w:t>
      </w:r>
      <w:r w:rsidR="00494080">
        <w:rPr>
          <w:b/>
          <w:bCs/>
        </w:rPr>
        <w:t>Webpage Feedback</w:t>
      </w:r>
      <w:r w:rsidRPr="00494080">
        <w:rPr>
          <w:b/>
          <w:bCs/>
        </w:rPr>
        <w:t xml:space="preserve"> </w:t>
      </w:r>
    </w:p>
    <w:p w14:paraId="76E7DBEC" w14:textId="77777777" w:rsidR="009659E1" w:rsidRDefault="009659E1" w:rsidP="003D7B1A">
      <w:pPr>
        <w:spacing w:after="0" w:line="240" w:lineRule="auto"/>
      </w:pPr>
    </w:p>
    <w:p w14:paraId="7172A3C9" w14:textId="46CAFC6C" w:rsidR="009D6133" w:rsidRDefault="00494080" w:rsidP="00494080">
      <w:pPr>
        <w:spacing w:after="0" w:line="240" w:lineRule="auto"/>
        <w:rPr>
          <w:rFonts w:eastAsia="Times New Roman"/>
        </w:rPr>
      </w:pPr>
      <w:r>
        <w:rPr>
          <w:rFonts w:eastAsia="Times New Roman"/>
        </w:rPr>
        <w:t>As you will note, the third web</w:t>
      </w:r>
      <w:r w:rsidR="009D6133">
        <w:rPr>
          <w:rFonts w:eastAsia="Times New Roman"/>
        </w:rPr>
        <w:t xml:space="preserve">page </w:t>
      </w:r>
      <w:r w:rsidR="00021A08">
        <w:rPr>
          <w:rFonts w:eastAsia="Times New Roman"/>
        </w:rPr>
        <w:t xml:space="preserve">listed generates </w:t>
      </w:r>
      <w:r>
        <w:rPr>
          <w:rFonts w:eastAsia="Times New Roman"/>
        </w:rPr>
        <w:t xml:space="preserve">multiple questions relating to </w:t>
      </w:r>
      <w:r w:rsidR="009D6133">
        <w:rPr>
          <w:rFonts w:eastAsia="Times New Roman"/>
        </w:rPr>
        <w:t>how EOs can get their names changes processed. T</w:t>
      </w:r>
      <w:r>
        <w:rPr>
          <w:rFonts w:eastAsia="Times New Roman"/>
        </w:rPr>
        <w:t>axpayers and practitioners are consistently stymied by the reality that s</w:t>
      </w:r>
      <w:r w:rsidR="003D6C02" w:rsidRPr="00494080">
        <w:rPr>
          <w:rFonts w:eastAsia="Times New Roman"/>
        </w:rPr>
        <w:t xml:space="preserve">elf-described </w:t>
      </w:r>
      <w:r w:rsidR="006250E9" w:rsidRPr="00494080">
        <w:rPr>
          <w:rFonts w:eastAsia="Times New Roman"/>
        </w:rPr>
        <w:t xml:space="preserve">501(c)(4)s, 501(c)(5)s, </w:t>
      </w:r>
      <w:r w:rsidR="00A130C9">
        <w:rPr>
          <w:rFonts w:eastAsia="Times New Roman"/>
        </w:rPr>
        <w:t xml:space="preserve">and </w:t>
      </w:r>
      <w:r w:rsidR="006250E9" w:rsidRPr="00494080">
        <w:rPr>
          <w:rFonts w:eastAsia="Times New Roman"/>
        </w:rPr>
        <w:t>501(c)(6)</w:t>
      </w:r>
      <w:r w:rsidR="00A130C9">
        <w:rPr>
          <w:rFonts w:eastAsia="Times New Roman"/>
        </w:rPr>
        <w:t xml:space="preserve">s (whether or not they have a pending exemption application) are unable to </w:t>
      </w:r>
      <w:r w:rsidR="006250E9" w:rsidRPr="00494080">
        <w:rPr>
          <w:rFonts w:eastAsia="Times New Roman"/>
        </w:rPr>
        <w:t xml:space="preserve">file Forms 990, 990-EZ or 990-T without </w:t>
      </w:r>
      <w:r w:rsidR="008E53FF" w:rsidRPr="00494080">
        <w:rPr>
          <w:rFonts w:eastAsia="Times New Roman"/>
        </w:rPr>
        <w:t xml:space="preserve">an </w:t>
      </w:r>
      <w:r w:rsidR="008E53FF" w:rsidRPr="00494080">
        <w:rPr>
          <w:rFonts w:eastAsia="Times New Roman"/>
          <w:b/>
          <w:bCs/>
        </w:rPr>
        <w:t xml:space="preserve">overall </w:t>
      </w:r>
      <w:r w:rsidR="009659E1" w:rsidRPr="00494080">
        <w:rPr>
          <w:rFonts w:eastAsia="Times New Roman"/>
          <w:b/>
          <w:bCs/>
        </w:rPr>
        <w:t>BMF</w:t>
      </w:r>
      <w:r w:rsidR="009659E1" w:rsidRPr="00494080">
        <w:rPr>
          <w:rFonts w:eastAsia="Times New Roman"/>
        </w:rPr>
        <w:t xml:space="preserve"> coding change</w:t>
      </w:r>
      <w:r w:rsidR="006250E9" w:rsidRPr="00494080">
        <w:rPr>
          <w:rFonts w:eastAsia="Times New Roman"/>
        </w:rPr>
        <w:t xml:space="preserve"> </w:t>
      </w:r>
      <w:r w:rsidR="00A130C9">
        <w:rPr>
          <w:rFonts w:eastAsia="Times New Roman"/>
        </w:rPr>
        <w:t xml:space="preserve">noting that they are eligible to file these 990-series returns. This is also a problem for 501(c)(3) public charities and private foundations when they have a pending application. </w:t>
      </w:r>
      <w:r w:rsidR="006250E9" w:rsidRPr="00494080">
        <w:rPr>
          <w:rFonts w:eastAsia="Times New Roman"/>
        </w:rPr>
        <w:t xml:space="preserve"> </w:t>
      </w:r>
      <w:r w:rsidR="009D6133">
        <w:rPr>
          <w:rFonts w:eastAsia="Times New Roman"/>
        </w:rPr>
        <w:t xml:space="preserve">In addition, in all these cases we are aware that the affected taxpayer also cannot </w:t>
      </w:r>
      <w:r w:rsidR="006250E9" w:rsidRPr="00494080">
        <w:rPr>
          <w:rFonts w:eastAsia="Times New Roman"/>
        </w:rPr>
        <w:t xml:space="preserve"> file </w:t>
      </w:r>
      <w:r w:rsidR="009D6133">
        <w:rPr>
          <w:rFonts w:eastAsia="Times New Roman"/>
        </w:rPr>
        <w:t xml:space="preserve">the e-notice, </w:t>
      </w:r>
      <w:r w:rsidR="006250E9" w:rsidRPr="00494080">
        <w:rPr>
          <w:rFonts w:eastAsia="Times New Roman"/>
        </w:rPr>
        <w:t xml:space="preserve">Form 990-N. </w:t>
      </w:r>
    </w:p>
    <w:p w14:paraId="30205825" w14:textId="77777777" w:rsidR="009D6133" w:rsidRDefault="009D6133" w:rsidP="00494080">
      <w:pPr>
        <w:spacing w:after="0" w:line="240" w:lineRule="auto"/>
        <w:rPr>
          <w:rFonts w:eastAsia="Times New Roman"/>
        </w:rPr>
      </w:pPr>
    </w:p>
    <w:p w14:paraId="5714BCB9" w14:textId="5D838465" w:rsidR="008E53FF" w:rsidRPr="00494080" w:rsidRDefault="005B637E" w:rsidP="00494080">
      <w:pPr>
        <w:spacing w:after="0" w:line="240" w:lineRule="auto"/>
        <w:rPr>
          <w:rFonts w:eastAsia="Times New Roman"/>
        </w:rPr>
      </w:pPr>
      <w:r w:rsidRPr="00494080">
        <w:rPr>
          <w:rFonts w:eastAsia="Times New Roman"/>
        </w:rPr>
        <w:t>Call</w:t>
      </w:r>
      <w:r w:rsidR="008E53FF" w:rsidRPr="00494080">
        <w:rPr>
          <w:rFonts w:eastAsia="Times New Roman"/>
        </w:rPr>
        <w:t xml:space="preserve">s to the </w:t>
      </w:r>
      <w:r w:rsidRPr="00494080">
        <w:rPr>
          <w:rFonts w:eastAsia="Times New Roman"/>
        </w:rPr>
        <w:t xml:space="preserve">e-help </w:t>
      </w:r>
      <w:r w:rsidR="003D7B1A" w:rsidRPr="00494080">
        <w:rPr>
          <w:rFonts w:eastAsia="Times New Roman"/>
        </w:rPr>
        <w:t xml:space="preserve">services </w:t>
      </w:r>
      <w:r w:rsidRPr="00494080">
        <w:rPr>
          <w:rFonts w:eastAsia="Times New Roman"/>
        </w:rPr>
        <w:t xml:space="preserve">line </w:t>
      </w:r>
      <w:r w:rsidR="00BB4428">
        <w:rPr>
          <w:rFonts w:eastAsia="Times New Roman"/>
        </w:rPr>
        <w:t xml:space="preserve">by affected taxpayers on this matter are </w:t>
      </w:r>
      <w:r w:rsidR="008E53FF" w:rsidRPr="00494080">
        <w:rPr>
          <w:rFonts w:eastAsia="Times New Roman"/>
        </w:rPr>
        <w:t xml:space="preserve">typically </w:t>
      </w:r>
      <w:r w:rsidR="00076560" w:rsidRPr="00494080">
        <w:rPr>
          <w:rFonts w:eastAsia="Times New Roman"/>
        </w:rPr>
        <w:t>nonproductive,</w:t>
      </w:r>
      <w:r w:rsidR="003D7B1A" w:rsidRPr="00494080">
        <w:rPr>
          <w:rFonts w:eastAsia="Times New Roman"/>
        </w:rPr>
        <w:t xml:space="preserve"> although there is one agent who is very familiar with Form 990-series annual information return issues and she garners results that other agents do not. It is very frustrating to be told to </w:t>
      </w:r>
      <w:r w:rsidR="008E53FF" w:rsidRPr="00494080">
        <w:rPr>
          <w:rFonts w:eastAsia="Times New Roman"/>
        </w:rPr>
        <w:t>contact</w:t>
      </w:r>
      <w:r w:rsidR="00076560" w:rsidRPr="00494080">
        <w:rPr>
          <w:rFonts w:eastAsia="Times New Roman"/>
        </w:rPr>
        <w:t xml:space="preserve"> CAS a</w:t>
      </w:r>
      <w:r w:rsidR="003D7B1A" w:rsidRPr="00494080">
        <w:rPr>
          <w:rFonts w:eastAsia="Times New Roman"/>
        </w:rPr>
        <w:t xml:space="preserve">s ultimately, </w:t>
      </w:r>
      <w:r w:rsidR="00F41826" w:rsidRPr="00494080">
        <w:rPr>
          <w:rFonts w:eastAsia="Times New Roman"/>
        </w:rPr>
        <w:t xml:space="preserve">at least </w:t>
      </w:r>
      <w:r w:rsidR="008E53FF" w:rsidRPr="00494080">
        <w:rPr>
          <w:rFonts w:eastAsia="Times New Roman"/>
        </w:rPr>
        <w:t>95% of the time</w:t>
      </w:r>
      <w:r w:rsidR="003D7B1A" w:rsidRPr="00494080">
        <w:rPr>
          <w:rFonts w:eastAsia="Times New Roman"/>
        </w:rPr>
        <w:t xml:space="preserve">, the eventual result is that </w:t>
      </w:r>
      <w:r w:rsidR="008E53FF" w:rsidRPr="00494080">
        <w:rPr>
          <w:rFonts w:eastAsia="Times New Roman"/>
        </w:rPr>
        <w:t>CAS refer</w:t>
      </w:r>
      <w:r w:rsidR="003D7B1A" w:rsidRPr="00494080">
        <w:rPr>
          <w:rFonts w:eastAsia="Times New Roman"/>
        </w:rPr>
        <w:t xml:space="preserve">s </w:t>
      </w:r>
      <w:r w:rsidR="008E53FF" w:rsidRPr="00494080">
        <w:rPr>
          <w:rFonts w:eastAsia="Times New Roman"/>
        </w:rPr>
        <w:t xml:space="preserve">back to the e-help </w:t>
      </w:r>
      <w:r w:rsidR="003D7B1A" w:rsidRPr="00494080">
        <w:rPr>
          <w:rFonts w:eastAsia="Times New Roman"/>
        </w:rPr>
        <w:t xml:space="preserve">support </w:t>
      </w:r>
      <w:r w:rsidRPr="00494080">
        <w:rPr>
          <w:rFonts w:eastAsia="Times New Roman"/>
        </w:rPr>
        <w:t>line.</w:t>
      </w:r>
    </w:p>
    <w:p w14:paraId="7F02E787" w14:textId="77777777" w:rsidR="008E53FF" w:rsidRDefault="008E53FF" w:rsidP="003D7B1A">
      <w:pPr>
        <w:pStyle w:val="ListParagraph"/>
        <w:tabs>
          <w:tab w:val="left" w:pos="900"/>
        </w:tabs>
        <w:spacing w:after="0" w:line="240" w:lineRule="auto"/>
        <w:ind w:left="990" w:hanging="270"/>
        <w:rPr>
          <w:rFonts w:eastAsia="Times New Roman"/>
          <w:b/>
          <w:bCs/>
        </w:rPr>
      </w:pPr>
    </w:p>
    <w:p w14:paraId="19A1EB5E" w14:textId="52BB4EEA" w:rsidR="005372B1" w:rsidRDefault="00BB4428" w:rsidP="009D6133">
      <w:pPr>
        <w:pStyle w:val="ListParagraph"/>
        <w:tabs>
          <w:tab w:val="left" w:pos="900"/>
        </w:tabs>
        <w:spacing w:after="0" w:line="240" w:lineRule="auto"/>
        <w:ind w:left="0"/>
        <w:rPr>
          <w:rFonts w:eastAsia="Times New Roman"/>
        </w:rPr>
      </w:pPr>
      <w:r>
        <w:rPr>
          <w:rFonts w:eastAsia="Times New Roman"/>
          <w:b/>
          <w:bCs/>
        </w:rPr>
        <w:t>In addition, m</w:t>
      </w:r>
      <w:r w:rsidR="009D6133">
        <w:rPr>
          <w:rFonts w:eastAsia="Times New Roman"/>
          <w:b/>
          <w:bCs/>
        </w:rPr>
        <w:t>uch confusion reigns in this area</w:t>
      </w:r>
      <w:r>
        <w:rPr>
          <w:rFonts w:eastAsia="Times New Roman"/>
          <w:b/>
          <w:bCs/>
        </w:rPr>
        <w:t>,</w:t>
      </w:r>
      <w:r w:rsidR="005E062A">
        <w:rPr>
          <w:rFonts w:eastAsia="Times New Roman"/>
          <w:b/>
          <w:bCs/>
        </w:rPr>
        <w:t xml:space="preserve"> </w:t>
      </w:r>
      <w:r w:rsidR="005E062A">
        <w:rPr>
          <w:rFonts w:eastAsia="Times New Roman"/>
        </w:rPr>
        <w:t>especially</w:t>
      </w:r>
      <w:r w:rsidR="009D6133">
        <w:rPr>
          <w:rFonts w:eastAsia="Times New Roman"/>
          <w:b/>
          <w:bCs/>
        </w:rPr>
        <w:t xml:space="preserve"> </w:t>
      </w:r>
      <w:r w:rsidR="009D6133" w:rsidRPr="005E062A">
        <w:rPr>
          <w:rFonts w:eastAsia="Times New Roman"/>
        </w:rPr>
        <w:t xml:space="preserve">as it </w:t>
      </w:r>
      <w:r>
        <w:rPr>
          <w:rFonts w:eastAsia="Times New Roman"/>
        </w:rPr>
        <w:t xml:space="preserve">had been the case in the past </w:t>
      </w:r>
      <w:r w:rsidR="005B637E" w:rsidRPr="005B637E">
        <w:rPr>
          <w:rFonts w:eastAsia="Times New Roman"/>
        </w:rPr>
        <w:t xml:space="preserve"> that </w:t>
      </w:r>
      <w:r w:rsidR="00076560">
        <w:rPr>
          <w:rFonts w:eastAsia="Times New Roman"/>
        </w:rPr>
        <w:t xml:space="preserve">taxpayers with </w:t>
      </w:r>
      <w:r w:rsidR="005B637E" w:rsidRPr="005B637E">
        <w:rPr>
          <w:rFonts w:eastAsia="Times New Roman"/>
        </w:rPr>
        <w:t xml:space="preserve">pending </w:t>
      </w:r>
      <w:r w:rsidR="00076560">
        <w:rPr>
          <w:rFonts w:eastAsia="Times New Roman"/>
        </w:rPr>
        <w:t xml:space="preserve">501(c)(3) </w:t>
      </w:r>
      <w:r w:rsidR="005B637E" w:rsidRPr="005B637E">
        <w:rPr>
          <w:rFonts w:eastAsia="Times New Roman"/>
        </w:rPr>
        <w:t>applica</w:t>
      </w:r>
      <w:r w:rsidR="00076560">
        <w:rPr>
          <w:rFonts w:eastAsia="Times New Roman"/>
        </w:rPr>
        <w:t xml:space="preserve">tions </w:t>
      </w:r>
      <w:r w:rsidR="005B637E" w:rsidRPr="005B637E">
        <w:rPr>
          <w:rFonts w:eastAsia="Times New Roman"/>
        </w:rPr>
        <w:t xml:space="preserve">and (prior to advent of Form 8976) self-declared </w:t>
      </w:r>
      <w:r w:rsidR="00076560">
        <w:rPr>
          <w:rFonts w:eastAsia="Times New Roman"/>
        </w:rPr>
        <w:t>501(c)(4)s</w:t>
      </w:r>
      <w:r w:rsidR="005E062A">
        <w:rPr>
          <w:rFonts w:eastAsia="Times New Roman"/>
        </w:rPr>
        <w:t xml:space="preserve"> were able to call</w:t>
      </w:r>
      <w:r w:rsidR="005B637E" w:rsidRPr="005B637E">
        <w:rPr>
          <w:rFonts w:eastAsia="Times New Roman"/>
        </w:rPr>
        <w:t xml:space="preserve"> CAS to “get </w:t>
      </w:r>
      <w:r w:rsidR="00076560">
        <w:rPr>
          <w:rFonts w:eastAsia="Times New Roman"/>
        </w:rPr>
        <w:t xml:space="preserve">the </w:t>
      </w:r>
      <w:r w:rsidR="005B637E" w:rsidRPr="005B637E">
        <w:rPr>
          <w:rFonts w:eastAsia="Times New Roman"/>
        </w:rPr>
        <w:t xml:space="preserve">switch thrown in </w:t>
      </w:r>
      <w:r w:rsidR="00076560">
        <w:rPr>
          <w:rFonts w:eastAsia="Times New Roman"/>
        </w:rPr>
        <w:t xml:space="preserve">the </w:t>
      </w:r>
      <w:r w:rsidR="005B637E" w:rsidRPr="005B637E">
        <w:rPr>
          <w:rFonts w:eastAsia="Times New Roman"/>
        </w:rPr>
        <w:t xml:space="preserve">BMF” </w:t>
      </w:r>
      <w:r w:rsidR="00076560">
        <w:rPr>
          <w:rFonts w:eastAsia="Times New Roman"/>
        </w:rPr>
        <w:t>t</w:t>
      </w:r>
      <w:r w:rsidR="005E062A">
        <w:rPr>
          <w:rFonts w:eastAsia="Times New Roman"/>
        </w:rPr>
        <w:t xml:space="preserve">o </w:t>
      </w:r>
      <w:r w:rsidR="00076560">
        <w:rPr>
          <w:rFonts w:eastAsia="Times New Roman"/>
        </w:rPr>
        <w:t>allow them to effect 990</w:t>
      </w:r>
      <w:r>
        <w:rPr>
          <w:rFonts w:eastAsia="Times New Roman"/>
        </w:rPr>
        <w:t xml:space="preserve"> annual information returns of the Form 990-N. </w:t>
      </w:r>
      <w:r w:rsidR="005E062A">
        <w:rPr>
          <w:rFonts w:eastAsia="Times New Roman"/>
        </w:rPr>
        <w:t xml:space="preserve">At present, </w:t>
      </w:r>
      <w:r w:rsidR="00866782">
        <w:rPr>
          <w:rFonts w:eastAsia="Times New Roman"/>
        </w:rPr>
        <w:t xml:space="preserve">an IRM </w:t>
      </w:r>
      <w:r>
        <w:rPr>
          <w:rFonts w:eastAsia="Times New Roman"/>
        </w:rPr>
        <w:t xml:space="preserve">is in place </w:t>
      </w:r>
      <w:r w:rsidR="00866782">
        <w:rPr>
          <w:rFonts w:eastAsia="Times New Roman"/>
        </w:rPr>
        <w:t xml:space="preserve">that specifies that until a 501(c) exemption application is closed with a favorable ruling, the </w:t>
      </w:r>
      <w:r w:rsidR="005E062A">
        <w:rPr>
          <w:rFonts w:eastAsia="Times New Roman"/>
        </w:rPr>
        <w:t xml:space="preserve">IRS </w:t>
      </w:r>
      <w:r>
        <w:rPr>
          <w:rFonts w:eastAsia="Times New Roman"/>
        </w:rPr>
        <w:t xml:space="preserve">is not </w:t>
      </w:r>
      <w:r w:rsidR="005E062A">
        <w:rPr>
          <w:rFonts w:eastAsia="Times New Roman"/>
        </w:rPr>
        <w:t xml:space="preserve">not </w:t>
      </w:r>
      <w:r>
        <w:rPr>
          <w:rFonts w:eastAsia="Times New Roman"/>
        </w:rPr>
        <w:t xml:space="preserve">to </w:t>
      </w:r>
      <w:r w:rsidR="005E062A">
        <w:rPr>
          <w:rFonts w:eastAsia="Times New Roman"/>
        </w:rPr>
        <w:t xml:space="preserve">throw the </w:t>
      </w:r>
      <w:r w:rsidR="00866782">
        <w:rPr>
          <w:rFonts w:eastAsia="Times New Roman"/>
        </w:rPr>
        <w:t>“990-filing”</w:t>
      </w:r>
      <w:r>
        <w:rPr>
          <w:rFonts w:eastAsia="Times New Roman"/>
        </w:rPr>
        <w:t xml:space="preserve"> switch to “o</w:t>
      </w:r>
      <w:r w:rsidR="005E062A">
        <w:rPr>
          <w:rFonts w:eastAsia="Times New Roman"/>
        </w:rPr>
        <w:t>n</w:t>
      </w:r>
      <w:r>
        <w:rPr>
          <w:rFonts w:eastAsia="Times New Roman"/>
        </w:rPr>
        <w:t xml:space="preserve">.” </w:t>
      </w:r>
      <w:r w:rsidR="00866782">
        <w:rPr>
          <w:rFonts w:eastAsia="Times New Roman"/>
        </w:rPr>
        <w:t>Assuming tha</w:t>
      </w:r>
      <w:r w:rsidR="005E062A">
        <w:rPr>
          <w:rFonts w:eastAsia="Times New Roman"/>
        </w:rPr>
        <w:t xml:space="preserve">t IRM is the </w:t>
      </w:r>
      <w:r>
        <w:rPr>
          <w:rFonts w:eastAsia="Times New Roman"/>
        </w:rPr>
        <w:t xml:space="preserve">current </w:t>
      </w:r>
      <w:r w:rsidR="005E062A">
        <w:rPr>
          <w:rFonts w:eastAsia="Times New Roman"/>
        </w:rPr>
        <w:t>impediment, it would be advantageous to have a</w:t>
      </w:r>
      <w:r w:rsidR="005B637E" w:rsidRPr="005B637E">
        <w:rPr>
          <w:rFonts w:eastAsia="Times New Roman"/>
        </w:rPr>
        <w:t xml:space="preserve">n expedited process </w:t>
      </w:r>
      <w:r w:rsidR="005E062A">
        <w:rPr>
          <w:rFonts w:eastAsia="Times New Roman"/>
        </w:rPr>
        <w:t>by which a</w:t>
      </w:r>
      <w:r w:rsidR="005B637E" w:rsidRPr="005B637E">
        <w:rPr>
          <w:rFonts w:eastAsia="Times New Roman"/>
        </w:rPr>
        <w:t xml:space="preserve">ffected EOs </w:t>
      </w:r>
      <w:r w:rsidR="00076560">
        <w:rPr>
          <w:rFonts w:eastAsia="Times New Roman"/>
        </w:rPr>
        <w:t xml:space="preserve">in </w:t>
      </w:r>
      <w:r w:rsidR="005E062A">
        <w:rPr>
          <w:rFonts w:eastAsia="Times New Roman"/>
        </w:rPr>
        <w:t xml:space="preserve">these </w:t>
      </w:r>
      <w:r w:rsidR="00076560">
        <w:rPr>
          <w:rFonts w:eastAsia="Times New Roman"/>
        </w:rPr>
        <w:t>circumstances</w:t>
      </w:r>
      <w:r w:rsidR="005E062A">
        <w:rPr>
          <w:rFonts w:eastAsia="Times New Roman"/>
        </w:rPr>
        <w:t xml:space="preserve"> could </w:t>
      </w:r>
      <w:r>
        <w:rPr>
          <w:rFonts w:eastAsia="Times New Roman"/>
        </w:rPr>
        <w:t xml:space="preserve">be </w:t>
      </w:r>
      <w:r w:rsidR="00076560">
        <w:rPr>
          <w:rFonts w:eastAsia="Times New Roman"/>
        </w:rPr>
        <w:t>coded</w:t>
      </w:r>
      <w:r w:rsidR="005E062A">
        <w:rPr>
          <w:rFonts w:eastAsia="Times New Roman"/>
        </w:rPr>
        <w:t xml:space="preserve"> or r</w:t>
      </w:r>
      <w:r w:rsidR="00076560">
        <w:rPr>
          <w:rFonts w:eastAsia="Times New Roman"/>
        </w:rPr>
        <w:t xml:space="preserve">ostered properly </w:t>
      </w:r>
      <w:r w:rsidR="0068102B">
        <w:rPr>
          <w:rFonts w:eastAsia="Times New Roman"/>
        </w:rPr>
        <w:t xml:space="preserve">in such fashion </w:t>
      </w:r>
      <w:r w:rsidR="00076560">
        <w:rPr>
          <w:rFonts w:eastAsia="Times New Roman"/>
        </w:rPr>
        <w:t xml:space="preserve">on the BMF </w:t>
      </w:r>
      <w:r w:rsidR="0068102B">
        <w:rPr>
          <w:rFonts w:eastAsia="Times New Roman"/>
        </w:rPr>
        <w:t xml:space="preserve">to allow them to make appropriate </w:t>
      </w:r>
      <w:r w:rsidR="00076560">
        <w:rPr>
          <w:rFonts w:eastAsia="Times New Roman"/>
        </w:rPr>
        <w:t>990-</w:t>
      </w:r>
      <w:r w:rsidR="003B2BAC">
        <w:rPr>
          <w:rFonts w:eastAsia="Times New Roman"/>
        </w:rPr>
        <w:t>se</w:t>
      </w:r>
      <w:r w:rsidR="00076560">
        <w:rPr>
          <w:rFonts w:eastAsia="Times New Roman"/>
        </w:rPr>
        <w:t>ries filings</w:t>
      </w:r>
      <w:r w:rsidR="005E062A">
        <w:rPr>
          <w:rFonts w:eastAsia="Times New Roman"/>
        </w:rPr>
        <w:t>.</w:t>
      </w:r>
    </w:p>
    <w:p w14:paraId="4F066FEF" w14:textId="77777777" w:rsidR="00866782" w:rsidRDefault="00866782" w:rsidP="003D7B1A">
      <w:pPr>
        <w:pStyle w:val="ListParagraph"/>
        <w:tabs>
          <w:tab w:val="left" w:pos="900"/>
        </w:tabs>
        <w:spacing w:after="0" w:line="240" w:lineRule="auto"/>
        <w:ind w:left="990"/>
        <w:rPr>
          <w:rFonts w:eastAsia="Times New Roman"/>
          <w:b/>
          <w:bCs/>
        </w:rPr>
      </w:pPr>
    </w:p>
    <w:p w14:paraId="4F63F3F4" w14:textId="77777777" w:rsidR="00866782" w:rsidRDefault="00866782" w:rsidP="00866782">
      <w:pPr>
        <w:spacing w:after="0" w:line="240" w:lineRule="auto"/>
      </w:pPr>
      <w:r>
        <w:t>Re the Webpage “About Us” we would like more details on BOTH:</w:t>
      </w:r>
    </w:p>
    <w:p w14:paraId="2AFC1BE2" w14:textId="3463CC9D" w:rsidR="003464D3" w:rsidRDefault="00866782" w:rsidP="00866782">
      <w:pPr>
        <w:pStyle w:val="ListParagraph"/>
        <w:numPr>
          <w:ilvl w:val="0"/>
          <w:numId w:val="26"/>
        </w:numPr>
        <w:spacing w:after="0" w:line="240" w:lineRule="auto"/>
      </w:pPr>
      <w:r>
        <w:t>the</w:t>
      </w:r>
      <w:r w:rsidR="003464D3" w:rsidRPr="003464D3">
        <w:t xml:space="preserve"> circumstances </w:t>
      </w:r>
      <w:r>
        <w:t>when a</w:t>
      </w:r>
      <w:r w:rsidR="003464D3" w:rsidRPr="003464D3">
        <w:t xml:space="preserve">n exempt organization </w:t>
      </w:r>
      <w:r>
        <w:t xml:space="preserve">may </w:t>
      </w:r>
      <w:r w:rsidR="003464D3" w:rsidRPr="003464D3">
        <w:t>“obtain a determinations letter applying to a specific set of facts”</w:t>
      </w:r>
      <w:r>
        <w:t>; and</w:t>
      </w:r>
    </w:p>
    <w:p w14:paraId="398BA79E" w14:textId="74428436" w:rsidR="003464D3" w:rsidRDefault="00021A08" w:rsidP="00021A08">
      <w:pPr>
        <w:pStyle w:val="ListParagraph"/>
        <w:numPr>
          <w:ilvl w:val="0"/>
          <w:numId w:val="26"/>
        </w:numPr>
      </w:pPr>
      <w:r>
        <w:t xml:space="preserve">when </w:t>
      </w:r>
      <w:r w:rsidR="00961CEF">
        <w:t>taxpayers might be required to send a</w:t>
      </w:r>
      <w:r w:rsidR="003464D3" w:rsidRPr="003464D3">
        <w:t xml:space="preserve">mended documents </w:t>
      </w:r>
      <w:r w:rsidR="00961CEF">
        <w:t xml:space="preserve">to </w:t>
      </w:r>
      <w:r w:rsidR="00742827">
        <w:t>Determinations</w:t>
      </w:r>
      <w:r w:rsidR="00961CEF">
        <w:t xml:space="preserve">? </w:t>
      </w:r>
      <w:r w:rsidR="00742827">
        <w:t>[is this, for example,</w:t>
      </w:r>
      <w:r w:rsidR="00961CEF">
        <w:t xml:space="preserve"> required when a ruling for 501</w:t>
      </w:r>
      <w:r w:rsidR="00742827">
        <w:t xml:space="preserve">(c)(3) </w:t>
      </w:r>
      <w:r w:rsidR="00961CEF">
        <w:t xml:space="preserve">recognition has been filed by an </w:t>
      </w:r>
      <w:r w:rsidR="00742827">
        <w:t>applicant who</w:t>
      </w:r>
      <w:r w:rsidR="00213E98">
        <w:t>se organizing document</w:t>
      </w:r>
      <w:r w:rsidR="00742827">
        <w:t xml:space="preserve"> </w:t>
      </w:r>
      <w:r w:rsidR="005F4229">
        <w:t>ha</w:t>
      </w:r>
      <w:r w:rsidR="00961CEF">
        <w:t>s failed to satisfy the</w:t>
      </w:r>
      <w:r w:rsidR="00742827">
        <w:t xml:space="preserve"> “organizational test”</w:t>
      </w:r>
      <w:r w:rsidR="00213E98">
        <w:t>,</w:t>
      </w:r>
      <w:r w:rsidR="005F4229">
        <w:t xml:space="preserve"> or </w:t>
      </w:r>
      <w:r w:rsidR="00213E98">
        <w:t xml:space="preserve">in the case of an entity seeking 509(a)(3) status public charity classification, if the entity </w:t>
      </w:r>
      <w:r w:rsidR="00961CEF">
        <w:t>has n</w:t>
      </w:r>
      <w:r w:rsidR="00213E98">
        <w:t>o</w:t>
      </w:r>
      <w:r w:rsidR="00961CEF">
        <w:t xml:space="preserve"> </w:t>
      </w:r>
      <w:r w:rsidR="005F4229">
        <w:t xml:space="preserve">purpose </w:t>
      </w:r>
      <w:r w:rsidR="00742827">
        <w:t xml:space="preserve">dedication </w:t>
      </w:r>
      <w:r w:rsidR="00961CEF">
        <w:t>in their organizing document t</w:t>
      </w:r>
      <w:r w:rsidR="00213E98">
        <w:t>hat specifies they are “</w:t>
      </w:r>
      <w:r w:rsidR="00961CEF">
        <w:t>supporting” one or more “supporting organizations</w:t>
      </w:r>
      <w:r w:rsidR="005F4229">
        <w:t>?</w:t>
      </w:r>
      <w:r w:rsidR="00742827">
        <w:t>]</w:t>
      </w:r>
    </w:p>
    <w:p w14:paraId="0C6CE1C7" w14:textId="1A11F796" w:rsidR="00C42C0B" w:rsidRDefault="00021A08" w:rsidP="00021A08">
      <w:r>
        <w:t>And finally, we are so appreciative of the fact that immediately following the</w:t>
      </w:r>
      <w:r w:rsidR="003C2EDA" w:rsidRPr="007E0F14">
        <w:rPr>
          <w:rFonts w:eastAsia="Times New Roman"/>
        </w:rPr>
        <w:t xml:space="preserve"> 3/3/2022 EO Update session </w:t>
      </w:r>
      <w:r>
        <w:rPr>
          <w:rFonts w:eastAsia="Times New Roman"/>
        </w:rPr>
        <w:t xml:space="preserve">in which you mentioned that </w:t>
      </w:r>
      <w:r w:rsidR="00601EB4" w:rsidRPr="007E0F14">
        <w:rPr>
          <w:rFonts w:eastAsia="Times New Roman"/>
        </w:rPr>
        <w:t xml:space="preserve">the </w:t>
      </w:r>
      <w:r w:rsidR="003D6C02" w:rsidRPr="007E0F14">
        <w:rPr>
          <w:rFonts w:eastAsia="Times New Roman"/>
        </w:rPr>
        <w:t>EO Entity</w:t>
      </w:r>
      <w:r w:rsidR="00601EB4" w:rsidRPr="007E0F14">
        <w:rPr>
          <w:rFonts w:eastAsia="Times New Roman"/>
        </w:rPr>
        <w:t xml:space="preserve"> unit/</w:t>
      </w:r>
      <w:r>
        <w:rPr>
          <w:rFonts w:eastAsia="Times New Roman"/>
        </w:rPr>
        <w:t xml:space="preserve">Office is the focal point </w:t>
      </w:r>
      <w:r w:rsidR="00A91D08">
        <w:rPr>
          <w:rFonts w:eastAsia="Times New Roman"/>
        </w:rPr>
        <w:t xml:space="preserve">for </w:t>
      </w:r>
      <w:r>
        <w:rPr>
          <w:rFonts w:eastAsia="Times New Roman"/>
        </w:rPr>
        <w:t xml:space="preserve"> addressing questions on the</w:t>
      </w:r>
      <w:r w:rsidR="003443CD" w:rsidRPr="007E0F14">
        <w:rPr>
          <w:rFonts w:eastAsia="Times New Roman"/>
        </w:rPr>
        <w:t xml:space="preserve"> </w:t>
      </w:r>
      <w:r w:rsidR="004A0B0C" w:rsidRPr="007E0F14">
        <w:rPr>
          <w:rFonts w:eastAsia="Times New Roman"/>
        </w:rPr>
        <w:t>EO BMF</w:t>
      </w:r>
      <w:r>
        <w:rPr>
          <w:rFonts w:eastAsia="Times New Roman"/>
        </w:rPr>
        <w:t xml:space="preserve"> and gave full contact information for that Office. </w:t>
      </w:r>
      <w:r w:rsidR="003C2EDA">
        <w:t xml:space="preserve">You and your representatives graciously provided to the EO Council the </w:t>
      </w:r>
      <w:r w:rsidR="00890A19">
        <w:t xml:space="preserve">EO Entity’s </w:t>
      </w:r>
      <w:r w:rsidR="00C42C0B">
        <w:t xml:space="preserve">fax </w:t>
      </w:r>
      <w:r w:rsidR="00890A19">
        <w:t xml:space="preserve">number </w:t>
      </w:r>
      <w:r w:rsidR="00C42C0B">
        <w:t xml:space="preserve">and </w:t>
      </w:r>
      <w:r w:rsidR="004A0B0C">
        <w:t xml:space="preserve">mail/delivery </w:t>
      </w:r>
      <w:r w:rsidR="00C42C0B">
        <w:t>addresses</w:t>
      </w:r>
      <w:r w:rsidR="007E0F14">
        <w:t>, shown below</w:t>
      </w:r>
      <w:r w:rsidR="00A91D08">
        <w:t>, and we strongly suggest that this (and other, as applicable) IRS webpages refer EOBMF questions to EO Entity with the same information you provided us (</w:t>
      </w:r>
      <w:r w:rsidR="0068102B">
        <w:t xml:space="preserve">see next page reproduction of </w:t>
      </w:r>
      <w:r w:rsidR="00A91D08">
        <w:t xml:space="preserve">our post to </w:t>
      </w:r>
      <w:r w:rsidR="003C2EDA">
        <w:t xml:space="preserve">EO Council members </w:t>
      </w:r>
      <w:r w:rsidR="00FF6029">
        <w:t xml:space="preserve">of the </w:t>
      </w:r>
      <w:r w:rsidR="003C2EDA">
        <w:t>complete addresse</w:t>
      </w:r>
      <w:r w:rsidR="00FF6029">
        <w:t>s)</w:t>
      </w:r>
      <w:r w:rsidR="003C2EDA">
        <w:t xml:space="preserve">. </w:t>
      </w:r>
    </w:p>
    <w:p w14:paraId="722F8574" w14:textId="77777777" w:rsidR="007A3278" w:rsidRDefault="007A3278" w:rsidP="007A3278">
      <w:pPr>
        <w:pStyle w:val="ListParagraph"/>
        <w:ind w:left="1170" w:hanging="270"/>
        <w:jc w:val="both"/>
      </w:pPr>
    </w:p>
    <w:p w14:paraId="39B53BCB" w14:textId="37E9F22E" w:rsidR="007A3278" w:rsidRPr="00C42C0B" w:rsidRDefault="007A3278" w:rsidP="007A3278">
      <w:pPr>
        <w:pStyle w:val="ListParagraph"/>
        <w:ind w:left="1170" w:hanging="270"/>
        <w:jc w:val="both"/>
      </w:pPr>
      <w:r>
        <w:tab/>
        <w:t xml:space="preserve">      </w:t>
      </w:r>
      <w:r w:rsidRPr="007A3278">
        <w:rPr>
          <w:u w:val="single"/>
        </w:rPr>
        <w:t>USPS Address</w:t>
      </w:r>
      <w:r>
        <w:tab/>
      </w:r>
      <w:r>
        <w:tab/>
      </w:r>
      <w:r>
        <w:tab/>
        <w:t xml:space="preserve">     </w:t>
      </w:r>
      <w:r>
        <w:tab/>
      </w:r>
      <w:r w:rsidRPr="007A3278">
        <w:rPr>
          <w:u w:val="single"/>
        </w:rPr>
        <w:t>Private Delivery Service</w:t>
      </w:r>
    </w:p>
    <w:p w14:paraId="6297463F" w14:textId="29EEA6C8" w:rsidR="003D6C02" w:rsidRDefault="007A3278" w:rsidP="00E5270C">
      <w:pPr>
        <w:spacing w:after="0" w:line="240" w:lineRule="auto"/>
      </w:pPr>
      <w:r>
        <w:tab/>
        <w:t xml:space="preserve">        </w:t>
      </w:r>
      <w:r>
        <w:tab/>
        <w:t>Internal Revenue Service</w:t>
      </w:r>
      <w:r>
        <w:tab/>
      </w:r>
      <w:r>
        <w:tab/>
        <w:t>Internal Revenue Service</w:t>
      </w:r>
    </w:p>
    <w:p w14:paraId="16403E65" w14:textId="359B3366" w:rsidR="000D039D" w:rsidRDefault="007A3278" w:rsidP="00E5270C">
      <w:pPr>
        <w:spacing w:after="0"/>
      </w:pPr>
      <w:r>
        <w:tab/>
      </w:r>
      <w:r>
        <w:tab/>
        <w:t>Attn. EO Entity, M/S 6273</w:t>
      </w:r>
      <w:r>
        <w:tab/>
      </w:r>
      <w:r>
        <w:tab/>
        <w:t>1973 N Rulon White Blvd.</w:t>
      </w:r>
    </w:p>
    <w:p w14:paraId="74209B57" w14:textId="65CDA278" w:rsidR="007A3278" w:rsidRDefault="007A3278" w:rsidP="00E5270C">
      <w:pPr>
        <w:spacing w:after="0"/>
      </w:pPr>
      <w:r>
        <w:tab/>
      </w:r>
      <w:r>
        <w:tab/>
      </w:r>
      <w:r w:rsidR="00E5270C">
        <w:t>Ogden, UT 84201</w:t>
      </w:r>
      <w:r w:rsidR="00E5270C">
        <w:tab/>
      </w:r>
      <w:r w:rsidR="00E5270C">
        <w:tab/>
      </w:r>
      <w:r w:rsidR="00E5270C">
        <w:tab/>
        <w:t>Attn. EO Entity, M/S 6273</w:t>
      </w:r>
    </w:p>
    <w:p w14:paraId="4180A546" w14:textId="2D57A068" w:rsidR="00E5270C" w:rsidRDefault="00E5270C" w:rsidP="00E5270C">
      <w:pPr>
        <w:spacing w:after="0"/>
      </w:pPr>
      <w:r>
        <w:tab/>
      </w:r>
      <w:r>
        <w:tab/>
      </w:r>
      <w:r>
        <w:tab/>
      </w:r>
      <w:r>
        <w:tab/>
      </w:r>
      <w:r>
        <w:tab/>
      </w:r>
      <w:r>
        <w:tab/>
      </w:r>
      <w:r>
        <w:tab/>
        <w:t>Ogden, UT 84201</w:t>
      </w:r>
    </w:p>
    <w:p w14:paraId="15B19099" w14:textId="5804F6C0" w:rsidR="007E0F14" w:rsidRDefault="007E0F14" w:rsidP="00E5270C">
      <w:pPr>
        <w:spacing w:after="0"/>
      </w:pPr>
    </w:p>
    <w:p w14:paraId="517B144B" w14:textId="031ECE75" w:rsidR="007E0F14" w:rsidRPr="007E0F14" w:rsidRDefault="007E0F14" w:rsidP="00E5270C">
      <w:pPr>
        <w:spacing w:after="0"/>
        <w:rPr>
          <w:u w:val="single"/>
        </w:rPr>
      </w:pPr>
      <w:r>
        <w:tab/>
      </w:r>
      <w:r>
        <w:tab/>
      </w:r>
      <w:r w:rsidRPr="007E0F14">
        <w:rPr>
          <w:u w:val="single"/>
        </w:rPr>
        <w:t>FAX</w:t>
      </w:r>
    </w:p>
    <w:p w14:paraId="70334C0F" w14:textId="1FCF0845" w:rsidR="007A3278" w:rsidRDefault="007E0F14">
      <w:r>
        <w:tab/>
      </w:r>
      <w:r>
        <w:tab/>
        <w:t>855-214-7520</w:t>
      </w:r>
    </w:p>
    <w:p w14:paraId="391E4CF8" w14:textId="77777777" w:rsidR="00050285" w:rsidRDefault="00050285" w:rsidP="007E0F14">
      <w:pPr>
        <w:ind w:left="990"/>
      </w:pPr>
    </w:p>
    <w:p w14:paraId="7DE4D609" w14:textId="77777777" w:rsidR="00050285" w:rsidRPr="00047550" w:rsidRDefault="00050285" w:rsidP="00050285">
      <w:pPr>
        <w:rPr>
          <w:b/>
          <w:bCs/>
        </w:rPr>
      </w:pPr>
      <w:r w:rsidRPr="00047550">
        <w:rPr>
          <w:b/>
          <w:bCs/>
        </w:rPr>
        <w:t xml:space="preserve">TOPIC 5:  FORM 4720 ISSUES </w:t>
      </w:r>
    </w:p>
    <w:p w14:paraId="00C6605C" w14:textId="5C6FA88F" w:rsidR="008B0033" w:rsidRPr="00047550" w:rsidRDefault="003D7B1A" w:rsidP="00FF6029">
      <w:r w:rsidRPr="00047550">
        <w:t>Given how frequently the</w:t>
      </w:r>
      <w:r w:rsidR="00047550" w:rsidRPr="00047550">
        <w:t xml:space="preserve"> systematic </w:t>
      </w:r>
      <w:r w:rsidRPr="00047550">
        <w:t xml:space="preserve">issues </w:t>
      </w:r>
      <w:r w:rsidR="00047550" w:rsidRPr="00047550">
        <w:t xml:space="preserve">noted </w:t>
      </w:r>
      <w:r w:rsidRPr="00047550">
        <w:t>arise, practitioners</w:t>
      </w:r>
      <w:r w:rsidR="003B2E76" w:rsidRPr="00047550">
        <w:t xml:space="preserve"> and taxpayers </w:t>
      </w:r>
      <w:r w:rsidR="006A599B">
        <w:t xml:space="preserve">are seeking tips as to how they might </w:t>
      </w:r>
      <w:r w:rsidR="003B2E76" w:rsidRPr="00047550">
        <w:t>mitigate the</w:t>
      </w:r>
      <w:r w:rsidRPr="00047550">
        <w:t xml:space="preserve">se recurring </w:t>
      </w:r>
      <w:r w:rsidR="003B2E76" w:rsidRPr="00047550">
        <w:t xml:space="preserve">notices and rejections? </w:t>
      </w:r>
    </w:p>
    <w:p w14:paraId="3889004E" w14:textId="10910BFF" w:rsidR="003B2E76" w:rsidRPr="00047550" w:rsidRDefault="00FF6029" w:rsidP="00FF6029">
      <w:r w:rsidRPr="00047550">
        <w:t xml:space="preserve">As to the </w:t>
      </w:r>
      <w:r w:rsidR="00047550" w:rsidRPr="00047550">
        <w:t xml:space="preserve">notices themselves, the IRS telling the </w:t>
      </w:r>
      <w:r w:rsidRPr="00047550">
        <w:t xml:space="preserve">EO </w:t>
      </w:r>
      <w:r w:rsidR="00047550" w:rsidRPr="00047550">
        <w:t xml:space="preserve">to remit </w:t>
      </w:r>
      <w:r w:rsidR="008B0033" w:rsidRPr="00047550">
        <w:t>the tax obligation</w:t>
      </w:r>
      <w:r w:rsidR="00047550" w:rsidRPr="00047550">
        <w:t xml:space="preserve"> is concerning as </w:t>
      </w:r>
      <w:r w:rsidRPr="00047550">
        <w:t xml:space="preserve"> some organizations will indeed make such remittance </w:t>
      </w:r>
      <w:r w:rsidR="008B0033" w:rsidRPr="00047550">
        <w:rPr>
          <w:i/>
          <w:iCs/>
        </w:rPr>
        <w:t>for the disqualified person</w:t>
      </w:r>
      <w:r w:rsidR="008B0033" w:rsidRPr="00047550">
        <w:t xml:space="preserve">. </w:t>
      </w:r>
      <w:r w:rsidR="00047550" w:rsidRPr="00047550">
        <w:t xml:space="preserve">For both public charities and 501(c)(4) organizations with respect to Code sec. 4958, and </w:t>
      </w:r>
      <w:r w:rsidR="008B0033" w:rsidRPr="00047550">
        <w:t>for private foundations</w:t>
      </w:r>
      <w:r w:rsidR="00047550" w:rsidRPr="00047550">
        <w:t xml:space="preserve"> with respect to Code sec. 4941, we note that an EO who pays </w:t>
      </w:r>
      <w:r w:rsidR="008B0033" w:rsidRPr="00047550">
        <w:t xml:space="preserve">the disqualified person’s tax obligation </w:t>
      </w:r>
      <w:r w:rsidR="00047550" w:rsidRPr="00047550">
        <w:t xml:space="preserve">will have inadvertently generated </w:t>
      </w:r>
      <w:r w:rsidR="008B0033" w:rsidRPr="00047550">
        <w:t xml:space="preserve">another </w:t>
      </w:r>
      <w:r w:rsidR="00047550" w:rsidRPr="00047550">
        <w:t xml:space="preserve">excess benefit transaction or </w:t>
      </w:r>
      <w:r w:rsidR="008B0033" w:rsidRPr="00047550">
        <w:t>act of self-dealing</w:t>
      </w:r>
      <w:r w:rsidR="00047550" w:rsidRPr="00047550">
        <w:t>, under the prior-cited Code sections, respectively</w:t>
      </w:r>
      <w:r w:rsidR="008B0033" w:rsidRPr="00047550">
        <w:t>.</w:t>
      </w:r>
    </w:p>
    <w:sectPr w:rsidR="003B2E76" w:rsidRPr="00047550" w:rsidSect="006F6E18">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71619" w14:textId="77777777" w:rsidR="00BA3627" w:rsidRDefault="00BA3627" w:rsidP="000D039D">
      <w:pPr>
        <w:spacing w:after="0" w:line="240" w:lineRule="auto"/>
      </w:pPr>
      <w:r>
        <w:separator/>
      </w:r>
    </w:p>
  </w:endnote>
  <w:endnote w:type="continuationSeparator" w:id="0">
    <w:p w14:paraId="3B5F5C7B" w14:textId="77777777" w:rsidR="00BA3627" w:rsidRDefault="00BA3627" w:rsidP="000D0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9FC0" w14:textId="11D038C2" w:rsidR="00E5270C" w:rsidRPr="001F7FEC" w:rsidRDefault="006A599B" w:rsidP="00E5270C">
    <w:pPr>
      <w:pStyle w:val="Footer"/>
      <w:jc w:val="center"/>
    </w:pPr>
    <w:r>
      <w:t xml:space="preserve">6/17/2022 </w:t>
    </w:r>
    <w:r w:rsidR="00F41826">
      <w:t>Agenda</w:t>
    </w:r>
    <w:r>
      <w:t xml:space="preserve">, </w:t>
    </w:r>
    <w:r w:rsidR="00E5270C">
      <w:t xml:space="preserve">Page </w:t>
    </w:r>
    <w:r w:rsidR="00E5270C" w:rsidRPr="001F7FEC">
      <w:fldChar w:fldCharType="begin"/>
    </w:r>
    <w:r w:rsidR="00E5270C" w:rsidRPr="001F7FEC">
      <w:instrText xml:space="preserve"> PAGE  \* Arabic  \* MERGEFORMAT </w:instrText>
    </w:r>
    <w:r w:rsidR="00E5270C" w:rsidRPr="001F7FEC">
      <w:fldChar w:fldCharType="separate"/>
    </w:r>
    <w:r w:rsidR="00E5270C" w:rsidRPr="001F7FEC">
      <w:rPr>
        <w:noProof/>
      </w:rPr>
      <w:t>1</w:t>
    </w:r>
    <w:r w:rsidR="00E5270C" w:rsidRPr="001F7FEC">
      <w:fldChar w:fldCharType="end"/>
    </w:r>
    <w:r w:rsidR="00E5270C" w:rsidRPr="001F7FEC">
      <w:t xml:space="preserve"> of </w:t>
    </w:r>
    <w:r w:rsidR="006F6E18">
      <w:t>5</w:t>
    </w:r>
    <w:r w:rsidR="003C2E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E239" w14:textId="77777777" w:rsidR="006A599B" w:rsidRDefault="006A599B" w:rsidP="00E5270C">
    <w:pPr>
      <w:pStyle w:val="Footer"/>
      <w:jc w:val="center"/>
    </w:pPr>
    <w:r>
      <w:t xml:space="preserve">Supplementary </w:t>
    </w:r>
    <w:r w:rsidR="00FF6029">
      <w:t>Info</w:t>
    </w:r>
    <w:r>
      <w:t xml:space="preserve">rmation on </w:t>
    </w:r>
    <w:r>
      <w:t>6/17/2022 Agend</w:t>
    </w:r>
    <w:r>
      <w:t xml:space="preserve">a’s Topics 2-4: </w:t>
    </w:r>
  </w:p>
  <w:p w14:paraId="0F252D16" w14:textId="712E0CC5" w:rsidR="00FF6029" w:rsidRPr="001F7FEC" w:rsidRDefault="00FF6029" w:rsidP="00E5270C">
    <w:pPr>
      <w:pStyle w:val="Footer"/>
      <w:jc w:val="center"/>
    </w:pPr>
    <w:r w:rsidRPr="001F7FEC">
      <w:fldChar w:fldCharType="begin"/>
    </w:r>
    <w:r w:rsidRPr="001F7FEC">
      <w:instrText xml:space="preserve"> PAGE  \* Arabic  \* MERGEFORMAT </w:instrText>
    </w:r>
    <w:r w:rsidRPr="001F7FEC">
      <w:fldChar w:fldCharType="separate"/>
    </w:r>
    <w:r w:rsidRPr="001F7FEC">
      <w:rPr>
        <w:noProof/>
      </w:rPr>
      <w:t>1</w:t>
    </w:r>
    <w:r w:rsidRPr="001F7FEC">
      <w:fldChar w:fldCharType="end"/>
    </w:r>
    <w:r w:rsidRPr="001F7FEC">
      <w:t xml:space="preserve"> of </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5C452" w14:textId="77777777" w:rsidR="00BA3627" w:rsidRDefault="00BA3627" w:rsidP="000D039D">
      <w:pPr>
        <w:spacing w:after="0" w:line="240" w:lineRule="auto"/>
      </w:pPr>
      <w:r>
        <w:separator/>
      </w:r>
    </w:p>
  </w:footnote>
  <w:footnote w:type="continuationSeparator" w:id="0">
    <w:p w14:paraId="54FFCF7D" w14:textId="77777777" w:rsidR="00BA3627" w:rsidRDefault="00BA3627" w:rsidP="000D0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13308"/>
    <w:multiLevelType w:val="multilevel"/>
    <w:tmpl w:val="EE0AA9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514319E"/>
    <w:multiLevelType w:val="multilevel"/>
    <w:tmpl w:val="8DF0D9D8"/>
    <w:lvl w:ilvl="0">
      <w:start w:val="1"/>
      <w:numFmt w:val="none"/>
      <w:lvlText w:val="a)"/>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9124EE0"/>
    <w:multiLevelType w:val="multilevel"/>
    <w:tmpl w:val="8DF0D9D8"/>
    <w:lvl w:ilvl="0">
      <w:start w:val="1"/>
      <w:numFmt w:val="none"/>
      <w:lvlText w:val="a)"/>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32A7747A"/>
    <w:multiLevelType w:val="hybridMultilevel"/>
    <w:tmpl w:val="06AC6FE4"/>
    <w:lvl w:ilvl="0" w:tplc="F1223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CC7D79"/>
    <w:multiLevelType w:val="hybridMultilevel"/>
    <w:tmpl w:val="11788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C41BC7"/>
    <w:multiLevelType w:val="hybridMultilevel"/>
    <w:tmpl w:val="A6A0E2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E9346C"/>
    <w:multiLevelType w:val="multilevel"/>
    <w:tmpl w:val="B948A07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7" w15:restartNumberingAfterBreak="0">
    <w:nsid w:val="3B3E6A6D"/>
    <w:multiLevelType w:val="hybridMultilevel"/>
    <w:tmpl w:val="4924652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2059F"/>
    <w:multiLevelType w:val="hybridMultilevel"/>
    <w:tmpl w:val="AA66B0B0"/>
    <w:lvl w:ilvl="0" w:tplc="E48ED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54C0B"/>
    <w:multiLevelType w:val="multilevel"/>
    <w:tmpl w:val="FA66DB6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0" w15:restartNumberingAfterBreak="0">
    <w:nsid w:val="496B5ECE"/>
    <w:multiLevelType w:val="multilevel"/>
    <w:tmpl w:val="A9E8BD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C593385"/>
    <w:multiLevelType w:val="hybridMultilevel"/>
    <w:tmpl w:val="5E06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84828"/>
    <w:multiLevelType w:val="hybridMultilevel"/>
    <w:tmpl w:val="B0BA66D6"/>
    <w:lvl w:ilvl="0" w:tplc="04090001">
      <w:start w:val="1"/>
      <w:numFmt w:val="bullet"/>
      <w:lvlText w:val=""/>
      <w:lvlJc w:val="left"/>
      <w:pPr>
        <w:ind w:left="796" w:hanging="360"/>
      </w:pPr>
      <w:rPr>
        <w:rFonts w:ascii="Symbol" w:hAnsi="Symbol"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3" w15:restartNumberingAfterBreak="0">
    <w:nsid w:val="5470060B"/>
    <w:multiLevelType w:val="hybridMultilevel"/>
    <w:tmpl w:val="9AC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D934C5"/>
    <w:multiLevelType w:val="hybridMultilevel"/>
    <w:tmpl w:val="12A0FD78"/>
    <w:lvl w:ilvl="0" w:tplc="C51C5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0721BF"/>
    <w:multiLevelType w:val="hybridMultilevel"/>
    <w:tmpl w:val="C25600A8"/>
    <w:lvl w:ilvl="0" w:tplc="AEFA285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C47829"/>
    <w:multiLevelType w:val="hybridMultilevel"/>
    <w:tmpl w:val="09043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6A6E86"/>
    <w:multiLevelType w:val="hybridMultilevel"/>
    <w:tmpl w:val="7028523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0520755"/>
    <w:multiLevelType w:val="hybridMultilevel"/>
    <w:tmpl w:val="65C480C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1A07A36"/>
    <w:multiLevelType w:val="hybridMultilevel"/>
    <w:tmpl w:val="8726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548EC"/>
    <w:multiLevelType w:val="hybridMultilevel"/>
    <w:tmpl w:val="963CF9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664B3E"/>
    <w:multiLevelType w:val="hybridMultilevel"/>
    <w:tmpl w:val="48FE9FE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6A20ED6"/>
    <w:multiLevelType w:val="hybridMultilevel"/>
    <w:tmpl w:val="9E72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2621E9"/>
    <w:multiLevelType w:val="hybridMultilevel"/>
    <w:tmpl w:val="532067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E0369"/>
    <w:multiLevelType w:val="hybridMultilevel"/>
    <w:tmpl w:val="BCFC87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4905C2"/>
    <w:multiLevelType w:val="hybridMultilevel"/>
    <w:tmpl w:val="E626FD04"/>
    <w:lvl w:ilvl="0" w:tplc="04090017">
      <w:start w:val="1"/>
      <w:numFmt w:val="lowerLetter"/>
      <w:lvlText w:val="%1)"/>
      <w:lvlJc w:val="left"/>
      <w:pPr>
        <w:ind w:left="3240" w:hanging="360"/>
      </w:pPr>
    </w:lvl>
    <w:lvl w:ilvl="1" w:tplc="8C225600">
      <w:start w:val="1"/>
      <w:numFmt w:val="decimal"/>
      <w:lvlText w:val="(%2)"/>
      <w:lvlJc w:val="left"/>
      <w:pPr>
        <w:ind w:left="3960" w:hanging="360"/>
      </w:pPr>
      <w:rPr>
        <w:rFonts w:hint="default"/>
      </w:r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238832483">
    <w:abstractNumId w:val="22"/>
  </w:num>
  <w:num w:numId="2" w16cid:durableId="1908027229">
    <w:abstractNumId w:val="15"/>
  </w:num>
  <w:num w:numId="3" w16cid:durableId="2075154260">
    <w:abstractNumId w:val="5"/>
  </w:num>
  <w:num w:numId="4" w16cid:durableId="581530819">
    <w:abstractNumId w:val="20"/>
  </w:num>
  <w:num w:numId="5" w16cid:durableId="815872657">
    <w:abstractNumId w:val="13"/>
  </w:num>
  <w:num w:numId="6" w16cid:durableId="1140458339">
    <w:abstractNumId w:val="11"/>
  </w:num>
  <w:num w:numId="7" w16cid:durableId="1511140985">
    <w:abstractNumId w:val="19"/>
  </w:num>
  <w:num w:numId="8" w16cid:durableId="13449360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521640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2565713">
    <w:abstractNumId w:val="24"/>
  </w:num>
  <w:num w:numId="11" w16cid:durableId="1299533707">
    <w:abstractNumId w:val="21"/>
  </w:num>
  <w:num w:numId="12" w16cid:durableId="1269854206">
    <w:abstractNumId w:val="4"/>
  </w:num>
  <w:num w:numId="13" w16cid:durableId="733969938">
    <w:abstractNumId w:val="7"/>
  </w:num>
  <w:num w:numId="14" w16cid:durableId="1650136258">
    <w:abstractNumId w:val="25"/>
  </w:num>
  <w:num w:numId="15" w16cid:durableId="2063670642">
    <w:abstractNumId w:val="14"/>
  </w:num>
  <w:num w:numId="16" w16cid:durableId="656222832">
    <w:abstractNumId w:val="1"/>
  </w:num>
  <w:num w:numId="17" w16cid:durableId="1528059655">
    <w:abstractNumId w:val="23"/>
  </w:num>
  <w:num w:numId="18" w16cid:durableId="186601248">
    <w:abstractNumId w:val="18"/>
  </w:num>
  <w:num w:numId="19" w16cid:durableId="1323698163">
    <w:abstractNumId w:val="17"/>
  </w:num>
  <w:num w:numId="20" w16cid:durableId="1477064331">
    <w:abstractNumId w:val="2"/>
  </w:num>
  <w:num w:numId="21" w16cid:durableId="1847402326">
    <w:abstractNumId w:val="16"/>
  </w:num>
  <w:num w:numId="22" w16cid:durableId="1179392648">
    <w:abstractNumId w:val="3"/>
  </w:num>
  <w:num w:numId="23" w16cid:durableId="111362598">
    <w:abstractNumId w:val="6"/>
    <w:lvlOverride w:ilvl="0">
      <w:startOverride w:val="1"/>
    </w:lvlOverride>
    <w:lvlOverride w:ilvl="1"/>
    <w:lvlOverride w:ilvl="2"/>
    <w:lvlOverride w:ilvl="3"/>
    <w:lvlOverride w:ilvl="4"/>
    <w:lvlOverride w:ilvl="5"/>
    <w:lvlOverride w:ilvl="6"/>
    <w:lvlOverride w:ilvl="7"/>
    <w:lvlOverride w:ilvl="8"/>
  </w:num>
  <w:num w:numId="24" w16cid:durableId="860899869">
    <w:abstractNumId w:val="9"/>
    <w:lvlOverride w:ilvl="0">
      <w:startOverride w:val="1"/>
    </w:lvlOverride>
    <w:lvlOverride w:ilvl="1"/>
    <w:lvlOverride w:ilvl="2"/>
    <w:lvlOverride w:ilvl="3"/>
    <w:lvlOverride w:ilvl="4"/>
    <w:lvlOverride w:ilvl="5"/>
    <w:lvlOverride w:ilvl="6"/>
    <w:lvlOverride w:ilvl="7"/>
    <w:lvlOverride w:ilvl="8"/>
  </w:num>
  <w:num w:numId="25" w16cid:durableId="1873490664">
    <w:abstractNumId w:val="12"/>
  </w:num>
  <w:num w:numId="26" w16cid:durableId="20725808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1tbC0NDQzMje3MLdQ0lEKTi0uzszPAykwqQUAp0axDCwAAAA="/>
  </w:docVars>
  <w:rsids>
    <w:rsidRoot w:val="000D039D"/>
    <w:rsid w:val="00014B04"/>
    <w:rsid w:val="00021A08"/>
    <w:rsid w:val="00031BFE"/>
    <w:rsid w:val="000351C5"/>
    <w:rsid w:val="00047550"/>
    <w:rsid w:val="00047892"/>
    <w:rsid w:val="00050285"/>
    <w:rsid w:val="000616E4"/>
    <w:rsid w:val="00076560"/>
    <w:rsid w:val="000812C5"/>
    <w:rsid w:val="0008414B"/>
    <w:rsid w:val="000A2363"/>
    <w:rsid w:val="000A3F27"/>
    <w:rsid w:val="000A5678"/>
    <w:rsid w:val="000C1591"/>
    <w:rsid w:val="000C17A2"/>
    <w:rsid w:val="000C2016"/>
    <w:rsid w:val="000D039D"/>
    <w:rsid w:val="000D556E"/>
    <w:rsid w:val="000E1E5A"/>
    <w:rsid w:val="000E3C31"/>
    <w:rsid w:val="000F25B1"/>
    <w:rsid w:val="000F2EC0"/>
    <w:rsid w:val="00106C6C"/>
    <w:rsid w:val="00112DE7"/>
    <w:rsid w:val="00126027"/>
    <w:rsid w:val="00144CA6"/>
    <w:rsid w:val="00183C6F"/>
    <w:rsid w:val="00191AD9"/>
    <w:rsid w:val="001D660F"/>
    <w:rsid w:val="001E536A"/>
    <w:rsid w:val="001E5937"/>
    <w:rsid w:val="001F7FEC"/>
    <w:rsid w:val="002022F9"/>
    <w:rsid w:val="00203602"/>
    <w:rsid w:val="00212429"/>
    <w:rsid w:val="00213E98"/>
    <w:rsid w:val="002178D4"/>
    <w:rsid w:val="0023263C"/>
    <w:rsid w:val="00260FD8"/>
    <w:rsid w:val="00263267"/>
    <w:rsid w:val="00266B56"/>
    <w:rsid w:val="002768DF"/>
    <w:rsid w:val="002770EC"/>
    <w:rsid w:val="002A219F"/>
    <w:rsid w:val="002B4198"/>
    <w:rsid w:val="002D0E81"/>
    <w:rsid w:val="002D29B6"/>
    <w:rsid w:val="002D3B7B"/>
    <w:rsid w:val="002E2091"/>
    <w:rsid w:val="002E371E"/>
    <w:rsid w:val="00311DFD"/>
    <w:rsid w:val="00317AA4"/>
    <w:rsid w:val="00335F7A"/>
    <w:rsid w:val="003443CD"/>
    <w:rsid w:val="003464D3"/>
    <w:rsid w:val="003561E2"/>
    <w:rsid w:val="003602CA"/>
    <w:rsid w:val="00360564"/>
    <w:rsid w:val="00365E01"/>
    <w:rsid w:val="00373451"/>
    <w:rsid w:val="00387312"/>
    <w:rsid w:val="003968F4"/>
    <w:rsid w:val="003A7E78"/>
    <w:rsid w:val="003B2BAC"/>
    <w:rsid w:val="003B2E76"/>
    <w:rsid w:val="003C2EDA"/>
    <w:rsid w:val="003D6C02"/>
    <w:rsid w:val="003D71EB"/>
    <w:rsid w:val="003D7B1A"/>
    <w:rsid w:val="003E3B88"/>
    <w:rsid w:val="003E68BE"/>
    <w:rsid w:val="003F2D17"/>
    <w:rsid w:val="0042094F"/>
    <w:rsid w:val="004259DB"/>
    <w:rsid w:val="00425E69"/>
    <w:rsid w:val="00432478"/>
    <w:rsid w:val="004413C3"/>
    <w:rsid w:val="004455CF"/>
    <w:rsid w:val="00452415"/>
    <w:rsid w:val="0047111C"/>
    <w:rsid w:val="00475DCA"/>
    <w:rsid w:val="00491588"/>
    <w:rsid w:val="00494080"/>
    <w:rsid w:val="00494F8C"/>
    <w:rsid w:val="004976D5"/>
    <w:rsid w:val="004A0B0C"/>
    <w:rsid w:val="004B2384"/>
    <w:rsid w:val="004C28E4"/>
    <w:rsid w:val="004E0BEC"/>
    <w:rsid w:val="004E6972"/>
    <w:rsid w:val="00502E00"/>
    <w:rsid w:val="00531CAF"/>
    <w:rsid w:val="005372B1"/>
    <w:rsid w:val="005528BF"/>
    <w:rsid w:val="00570B40"/>
    <w:rsid w:val="00575C90"/>
    <w:rsid w:val="00585644"/>
    <w:rsid w:val="005900E5"/>
    <w:rsid w:val="005A03CE"/>
    <w:rsid w:val="005B637E"/>
    <w:rsid w:val="005C5EF9"/>
    <w:rsid w:val="005E062A"/>
    <w:rsid w:val="005E29CD"/>
    <w:rsid w:val="005F00F4"/>
    <w:rsid w:val="005F4229"/>
    <w:rsid w:val="00601EB4"/>
    <w:rsid w:val="00603829"/>
    <w:rsid w:val="0061720A"/>
    <w:rsid w:val="006250E9"/>
    <w:rsid w:val="00657EFC"/>
    <w:rsid w:val="00662D77"/>
    <w:rsid w:val="00671187"/>
    <w:rsid w:val="0068102B"/>
    <w:rsid w:val="00681899"/>
    <w:rsid w:val="006856EC"/>
    <w:rsid w:val="00695ED6"/>
    <w:rsid w:val="006A2D19"/>
    <w:rsid w:val="006A3544"/>
    <w:rsid w:val="006A599B"/>
    <w:rsid w:val="006A6FF4"/>
    <w:rsid w:val="006A70A2"/>
    <w:rsid w:val="006B0D78"/>
    <w:rsid w:val="006E32FD"/>
    <w:rsid w:val="006E59F1"/>
    <w:rsid w:val="006F1859"/>
    <w:rsid w:val="006F3F37"/>
    <w:rsid w:val="006F51BA"/>
    <w:rsid w:val="006F6E18"/>
    <w:rsid w:val="00707C3A"/>
    <w:rsid w:val="00712975"/>
    <w:rsid w:val="007238EE"/>
    <w:rsid w:val="0072628F"/>
    <w:rsid w:val="00726D8F"/>
    <w:rsid w:val="007362EB"/>
    <w:rsid w:val="00742827"/>
    <w:rsid w:val="00752C2B"/>
    <w:rsid w:val="00755D79"/>
    <w:rsid w:val="00757F19"/>
    <w:rsid w:val="007621E4"/>
    <w:rsid w:val="00787266"/>
    <w:rsid w:val="007A3278"/>
    <w:rsid w:val="007C28B9"/>
    <w:rsid w:val="007D2B1B"/>
    <w:rsid w:val="007E0426"/>
    <w:rsid w:val="007E0F14"/>
    <w:rsid w:val="007E3D2B"/>
    <w:rsid w:val="007F7083"/>
    <w:rsid w:val="00802806"/>
    <w:rsid w:val="00810455"/>
    <w:rsid w:val="008139A5"/>
    <w:rsid w:val="00827EBC"/>
    <w:rsid w:val="00851ED2"/>
    <w:rsid w:val="00857D7E"/>
    <w:rsid w:val="00863E73"/>
    <w:rsid w:val="00866782"/>
    <w:rsid w:val="00873033"/>
    <w:rsid w:val="00890A19"/>
    <w:rsid w:val="0089779A"/>
    <w:rsid w:val="0089780F"/>
    <w:rsid w:val="008A3A5E"/>
    <w:rsid w:val="008A5042"/>
    <w:rsid w:val="008B0033"/>
    <w:rsid w:val="008B6EB4"/>
    <w:rsid w:val="008B7748"/>
    <w:rsid w:val="008C12FF"/>
    <w:rsid w:val="008D6812"/>
    <w:rsid w:val="008E1A01"/>
    <w:rsid w:val="008E53FF"/>
    <w:rsid w:val="0090268B"/>
    <w:rsid w:val="009032F5"/>
    <w:rsid w:val="00927ADE"/>
    <w:rsid w:val="009325DE"/>
    <w:rsid w:val="00932A79"/>
    <w:rsid w:val="009377C3"/>
    <w:rsid w:val="009402B1"/>
    <w:rsid w:val="00941C9F"/>
    <w:rsid w:val="00945075"/>
    <w:rsid w:val="00961CEF"/>
    <w:rsid w:val="009642BA"/>
    <w:rsid w:val="009659E1"/>
    <w:rsid w:val="0097022C"/>
    <w:rsid w:val="00972355"/>
    <w:rsid w:val="0099354F"/>
    <w:rsid w:val="009B3D3F"/>
    <w:rsid w:val="009C407C"/>
    <w:rsid w:val="009C7F41"/>
    <w:rsid w:val="009D356A"/>
    <w:rsid w:val="009D3E5D"/>
    <w:rsid w:val="009D6133"/>
    <w:rsid w:val="009E06F6"/>
    <w:rsid w:val="009E5FA4"/>
    <w:rsid w:val="009F14B4"/>
    <w:rsid w:val="00A02308"/>
    <w:rsid w:val="00A130C9"/>
    <w:rsid w:val="00A16C51"/>
    <w:rsid w:val="00A31781"/>
    <w:rsid w:val="00A34CD8"/>
    <w:rsid w:val="00A46B8E"/>
    <w:rsid w:val="00A62A7F"/>
    <w:rsid w:val="00A66327"/>
    <w:rsid w:val="00A91D08"/>
    <w:rsid w:val="00A976B9"/>
    <w:rsid w:val="00AA4962"/>
    <w:rsid w:val="00AB1E28"/>
    <w:rsid w:val="00AB695A"/>
    <w:rsid w:val="00AD244F"/>
    <w:rsid w:val="00AE24C2"/>
    <w:rsid w:val="00AF0DCA"/>
    <w:rsid w:val="00AF33F1"/>
    <w:rsid w:val="00B26912"/>
    <w:rsid w:val="00B2713A"/>
    <w:rsid w:val="00B32066"/>
    <w:rsid w:val="00B35D3B"/>
    <w:rsid w:val="00B42876"/>
    <w:rsid w:val="00B57E53"/>
    <w:rsid w:val="00B61F46"/>
    <w:rsid w:val="00B8620C"/>
    <w:rsid w:val="00BA3627"/>
    <w:rsid w:val="00BB08FC"/>
    <w:rsid w:val="00BB2341"/>
    <w:rsid w:val="00BB2CA6"/>
    <w:rsid w:val="00BB4428"/>
    <w:rsid w:val="00BC01EF"/>
    <w:rsid w:val="00BC37BA"/>
    <w:rsid w:val="00BC6FDA"/>
    <w:rsid w:val="00BE1931"/>
    <w:rsid w:val="00BF61AD"/>
    <w:rsid w:val="00C132E9"/>
    <w:rsid w:val="00C16160"/>
    <w:rsid w:val="00C278A2"/>
    <w:rsid w:val="00C30BBC"/>
    <w:rsid w:val="00C314DC"/>
    <w:rsid w:val="00C330B8"/>
    <w:rsid w:val="00C42C0B"/>
    <w:rsid w:val="00C46435"/>
    <w:rsid w:val="00C472F0"/>
    <w:rsid w:val="00C51A90"/>
    <w:rsid w:val="00C60FDC"/>
    <w:rsid w:val="00C63D81"/>
    <w:rsid w:val="00C7175C"/>
    <w:rsid w:val="00C9650B"/>
    <w:rsid w:val="00CA5EA6"/>
    <w:rsid w:val="00CB34E5"/>
    <w:rsid w:val="00CD3820"/>
    <w:rsid w:val="00CD4AB2"/>
    <w:rsid w:val="00CD62AE"/>
    <w:rsid w:val="00CF4DA2"/>
    <w:rsid w:val="00D0152E"/>
    <w:rsid w:val="00D02327"/>
    <w:rsid w:val="00D11077"/>
    <w:rsid w:val="00D14802"/>
    <w:rsid w:val="00D23670"/>
    <w:rsid w:val="00D52474"/>
    <w:rsid w:val="00DA049A"/>
    <w:rsid w:val="00DA2953"/>
    <w:rsid w:val="00DC4F49"/>
    <w:rsid w:val="00DD06D4"/>
    <w:rsid w:val="00DD1D7E"/>
    <w:rsid w:val="00DE7ECF"/>
    <w:rsid w:val="00E14009"/>
    <w:rsid w:val="00E2714B"/>
    <w:rsid w:val="00E30D6E"/>
    <w:rsid w:val="00E33EEF"/>
    <w:rsid w:val="00E5270C"/>
    <w:rsid w:val="00E62B93"/>
    <w:rsid w:val="00E95D96"/>
    <w:rsid w:val="00EB4077"/>
    <w:rsid w:val="00EC34F6"/>
    <w:rsid w:val="00EC3C10"/>
    <w:rsid w:val="00EC62B0"/>
    <w:rsid w:val="00F0612C"/>
    <w:rsid w:val="00F35A31"/>
    <w:rsid w:val="00F41826"/>
    <w:rsid w:val="00F54A3E"/>
    <w:rsid w:val="00F54E8D"/>
    <w:rsid w:val="00F712E5"/>
    <w:rsid w:val="00F86B91"/>
    <w:rsid w:val="00F913FD"/>
    <w:rsid w:val="00F9148C"/>
    <w:rsid w:val="00F91D63"/>
    <w:rsid w:val="00FB591D"/>
    <w:rsid w:val="00FD4CA1"/>
    <w:rsid w:val="00FE1E66"/>
    <w:rsid w:val="00FE4BC1"/>
    <w:rsid w:val="00FE6430"/>
    <w:rsid w:val="00FE6519"/>
    <w:rsid w:val="00FF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710C7D"/>
  <w15:chartTrackingRefBased/>
  <w15:docId w15:val="{21C08921-C263-4307-A947-61E1E63F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39D"/>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0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39D"/>
    <w:pPr>
      <w:ind w:left="720"/>
      <w:contextualSpacing/>
    </w:pPr>
  </w:style>
  <w:style w:type="character" w:styleId="CommentReference">
    <w:name w:val="annotation reference"/>
    <w:basedOn w:val="DefaultParagraphFont"/>
    <w:rsid w:val="00AB1E28"/>
    <w:rPr>
      <w:sz w:val="16"/>
      <w:szCs w:val="16"/>
    </w:rPr>
  </w:style>
  <w:style w:type="paragraph" w:styleId="CommentText">
    <w:name w:val="annotation text"/>
    <w:basedOn w:val="Normal"/>
    <w:link w:val="CommentTextChar"/>
    <w:rsid w:val="00AB1E28"/>
    <w:pPr>
      <w:spacing w:line="240" w:lineRule="auto"/>
    </w:pPr>
    <w:rPr>
      <w:sz w:val="20"/>
      <w:szCs w:val="20"/>
    </w:rPr>
  </w:style>
  <w:style w:type="character" w:customStyle="1" w:styleId="CommentTextChar">
    <w:name w:val="Comment Text Char"/>
    <w:basedOn w:val="DefaultParagraphFont"/>
    <w:link w:val="CommentText"/>
    <w:rsid w:val="00AB1E28"/>
    <w:rPr>
      <w:rFonts w:asciiTheme="minorHAnsi" w:eastAsiaTheme="minorHAnsi" w:hAnsiTheme="minorHAnsi" w:cstheme="minorBidi"/>
    </w:rPr>
  </w:style>
  <w:style w:type="paragraph" w:styleId="CommentSubject">
    <w:name w:val="annotation subject"/>
    <w:basedOn w:val="CommentText"/>
    <w:next w:val="CommentText"/>
    <w:link w:val="CommentSubjectChar"/>
    <w:rsid w:val="00AB1E28"/>
    <w:rPr>
      <w:b/>
      <w:bCs/>
    </w:rPr>
  </w:style>
  <w:style w:type="character" w:customStyle="1" w:styleId="CommentSubjectChar">
    <w:name w:val="Comment Subject Char"/>
    <w:basedOn w:val="CommentTextChar"/>
    <w:link w:val="CommentSubject"/>
    <w:rsid w:val="00AB1E28"/>
    <w:rPr>
      <w:rFonts w:asciiTheme="minorHAnsi" w:eastAsiaTheme="minorHAnsi" w:hAnsiTheme="minorHAnsi" w:cstheme="minorBidi"/>
      <w:b/>
      <w:bCs/>
    </w:rPr>
  </w:style>
  <w:style w:type="paragraph" w:styleId="Header">
    <w:name w:val="header"/>
    <w:basedOn w:val="Normal"/>
    <w:link w:val="HeaderChar"/>
    <w:rsid w:val="004C28E4"/>
    <w:pPr>
      <w:tabs>
        <w:tab w:val="center" w:pos="4680"/>
        <w:tab w:val="right" w:pos="9360"/>
      </w:tabs>
      <w:spacing w:after="0" w:line="240" w:lineRule="auto"/>
    </w:pPr>
  </w:style>
  <w:style w:type="character" w:customStyle="1" w:styleId="HeaderChar">
    <w:name w:val="Header Char"/>
    <w:basedOn w:val="DefaultParagraphFont"/>
    <w:link w:val="Header"/>
    <w:rsid w:val="004C28E4"/>
    <w:rPr>
      <w:rFonts w:asciiTheme="minorHAnsi" w:eastAsiaTheme="minorHAnsi" w:hAnsiTheme="minorHAnsi" w:cstheme="minorBidi"/>
      <w:sz w:val="22"/>
      <w:szCs w:val="22"/>
    </w:rPr>
  </w:style>
  <w:style w:type="paragraph" w:styleId="Footer">
    <w:name w:val="footer"/>
    <w:basedOn w:val="Normal"/>
    <w:link w:val="FooterChar"/>
    <w:rsid w:val="004C28E4"/>
    <w:pPr>
      <w:tabs>
        <w:tab w:val="center" w:pos="4680"/>
        <w:tab w:val="right" w:pos="9360"/>
      </w:tabs>
      <w:spacing w:after="0" w:line="240" w:lineRule="auto"/>
    </w:pPr>
  </w:style>
  <w:style w:type="character" w:customStyle="1" w:styleId="FooterChar">
    <w:name w:val="Footer Char"/>
    <w:basedOn w:val="DefaultParagraphFont"/>
    <w:link w:val="Footer"/>
    <w:rsid w:val="004C28E4"/>
    <w:rPr>
      <w:rFonts w:asciiTheme="minorHAnsi" w:eastAsiaTheme="minorHAnsi" w:hAnsiTheme="minorHAnsi" w:cstheme="minorBidi"/>
      <w:sz w:val="22"/>
      <w:szCs w:val="22"/>
    </w:rPr>
  </w:style>
  <w:style w:type="character" w:styleId="Hyperlink">
    <w:name w:val="Hyperlink"/>
    <w:basedOn w:val="DefaultParagraphFont"/>
    <w:uiPriority w:val="99"/>
    <w:unhideWhenUsed/>
    <w:rsid w:val="003D6C02"/>
    <w:rPr>
      <w:color w:val="0563C1"/>
      <w:u w:val="single"/>
    </w:rPr>
  </w:style>
  <w:style w:type="character" w:customStyle="1" w:styleId="spelle">
    <w:name w:val="spelle"/>
    <w:basedOn w:val="DefaultParagraphFont"/>
    <w:rsid w:val="003D6C02"/>
  </w:style>
  <w:style w:type="character" w:styleId="UnresolvedMention">
    <w:name w:val="Unresolved Mention"/>
    <w:basedOn w:val="DefaultParagraphFont"/>
    <w:uiPriority w:val="99"/>
    <w:semiHidden/>
    <w:unhideWhenUsed/>
    <w:rsid w:val="001E5937"/>
    <w:rPr>
      <w:color w:val="605E5C"/>
      <w:shd w:val="clear" w:color="auto" w:fill="E1DFDD"/>
    </w:rPr>
  </w:style>
  <w:style w:type="character" w:styleId="FollowedHyperlink">
    <w:name w:val="FollowedHyperlink"/>
    <w:basedOn w:val="DefaultParagraphFont"/>
    <w:rsid w:val="00F86B91"/>
    <w:rPr>
      <w:color w:val="954F72" w:themeColor="followedHyperlink"/>
      <w:u w:val="single"/>
    </w:rPr>
  </w:style>
  <w:style w:type="paragraph" w:styleId="Revision">
    <w:name w:val="Revision"/>
    <w:hidden/>
    <w:uiPriority w:val="99"/>
    <w:semiHidden/>
    <w:rsid w:val="003B2E7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011">
      <w:bodyDiv w:val="1"/>
      <w:marLeft w:val="0"/>
      <w:marRight w:val="0"/>
      <w:marTop w:val="0"/>
      <w:marBottom w:val="0"/>
      <w:divBdr>
        <w:top w:val="none" w:sz="0" w:space="0" w:color="auto"/>
        <w:left w:val="none" w:sz="0" w:space="0" w:color="auto"/>
        <w:bottom w:val="none" w:sz="0" w:space="0" w:color="auto"/>
        <w:right w:val="none" w:sz="0" w:space="0" w:color="auto"/>
      </w:divBdr>
    </w:div>
    <w:div w:id="148400190">
      <w:bodyDiv w:val="1"/>
      <w:marLeft w:val="0"/>
      <w:marRight w:val="0"/>
      <w:marTop w:val="0"/>
      <w:marBottom w:val="0"/>
      <w:divBdr>
        <w:top w:val="none" w:sz="0" w:space="0" w:color="auto"/>
        <w:left w:val="none" w:sz="0" w:space="0" w:color="auto"/>
        <w:bottom w:val="none" w:sz="0" w:space="0" w:color="auto"/>
        <w:right w:val="none" w:sz="0" w:space="0" w:color="auto"/>
      </w:divBdr>
    </w:div>
    <w:div w:id="590239506">
      <w:bodyDiv w:val="1"/>
      <w:marLeft w:val="0"/>
      <w:marRight w:val="0"/>
      <w:marTop w:val="0"/>
      <w:marBottom w:val="0"/>
      <w:divBdr>
        <w:top w:val="none" w:sz="0" w:space="0" w:color="auto"/>
        <w:left w:val="none" w:sz="0" w:space="0" w:color="auto"/>
        <w:bottom w:val="none" w:sz="0" w:space="0" w:color="auto"/>
        <w:right w:val="none" w:sz="0" w:space="0" w:color="auto"/>
      </w:divBdr>
    </w:div>
    <w:div w:id="704132799">
      <w:bodyDiv w:val="1"/>
      <w:marLeft w:val="0"/>
      <w:marRight w:val="0"/>
      <w:marTop w:val="0"/>
      <w:marBottom w:val="0"/>
      <w:divBdr>
        <w:top w:val="none" w:sz="0" w:space="0" w:color="auto"/>
        <w:left w:val="none" w:sz="0" w:space="0" w:color="auto"/>
        <w:bottom w:val="none" w:sz="0" w:space="0" w:color="auto"/>
        <w:right w:val="none" w:sz="0" w:space="0" w:color="auto"/>
      </w:divBdr>
    </w:div>
    <w:div w:id="1487670630">
      <w:bodyDiv w:val="1"/>
      <w:marLeft w:val="0"/>
      <w:marRight w:val="0"/>
      <w:marTop w:val="0"/>
      <w:marBottom w:val="0"/>
      <w:divBdr>
        <w:top w:val="none" w:sz="0" w:space="0" w:color="auto"/>
        <w:left w:val="none" w:sz="0" w:space="0" w:color="auto"/>
        <w:bottom w:val="none" w:sz="0" w:space="0" w:color="auto"/>
        <w:right w:val="none" w:sz="0" w:space="0" w:color="auto"/>
      </w:divBdr>
    </w:div>
    <w:div w:id="2115897252">
      <w:bodyDiv w:val="1"/>
      <w:marLeft w:val="0"/>
      <w:marRight w:val="0"/>
      <w:marTop w:val="0"/>
      <w:marBottom w:val="0"/>
      <w:divBdr>
        <w:top w:val="none" w:sz="0" w:space="0" w:color="auto"/>
        <w:left w:val="none" w:sz="0" w:space="0" w:color="auto"/>
        <w:bottom w:val="none" w:sz="0" w:space="0" w:color="auto"/>
        <w:right w:val="none" w:sz="0" w:space="0" w:color="auto"/>
      </w:divBdr>
    </w:div>
    <w:div w:id="213486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charities-non-profits/contact-irs-exempt-organiz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rs.gov/charities-non-profits/charitable-organizations/change-of-name-exempt-organizations" TargetMode="External"/><Relationship Id="rId4" Type="http://schemas.openxmlformats.org/officeDocument/2006/relationships/settings" Target="settings.xml"/><Relationship Id="rId9" Type="http://schemas.openxmlformats.org/officeDocument/2006/relationships/hyperlink" Target="https://www.irs.gov/charities-non-profits/contact-irs-exempt-organiz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A5C50-1A10-43A7-BC23-3C82C1AF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8</Pages>
  <Words>2416</Words>
  <Characters>13774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Fulton, Anne</dc:creator>
  <cp:keywords/>
  <dc:description/>
  <cp:lastModifiedBy>Eve Borenstein</cp:lastModifiedBy>
  <cp:revision>8</cp:revision>
  <dcterms:created xsi:type="dcterms:W3CDTF">2022-05-21T15:44:00Z</dcterms:created>
  <dcterms:modified xsi:type="dcterms:W3CDTF">2022-06-14T22:53:00Z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2022-02-23T19:02:59Z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992f84ce-1c5e-4f0f-90e5-58b97bf51487</vt:lpwstr>
  </property>
  <property fmtid="{D5CDD505-2E9C-101B-9397-08002B2CF9AE}" pid="8" name="MSIP_Label_ea60d57e-af5b-4752-ac57-3e4f28ca11dc_ContentBits">
    <vt:lpwstr>0</vt:lpwstr>
  </property>
</Properties>
</file>